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2"/>
        <w:tblW w:w="985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  <w:gridCol w:w="4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122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ICS 71.100.70</w:t>
            </w:r>
          </w:p>
          <w:p>
            <w:pPr>
              <w:pStyle w:val="122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Y42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8" w:type="dxa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75"/>
              <w:rPr>
                <w:color w:val="auto"/>
              </w:rPr>
            </w:pPr>
          </w:p>
        </w:tc>
      </w:tr>
    </w:tbl>
    <w:p>
      <w:pPr>
        <w:pStyle w:val="46"/>
        <w:jc w:val="right"/>
        <w:rPr>
          <w:color w:val="auto"/>
        </w:rPr>
      </w:pPr>
    </w:p>
    <w:p>
      <w:pPr>
        <w:pStyle w:val="46"/>
        <w:rPr>
          <w:color w:val="auto"/>
        </w:rPr>
      </w:pPr>
    </w:p>
    <w:p>
      <w:pPr>
        <w:pStyle w:val="77"/>
        <w:jc w:val="center"/>
        <w:rPr>
          <w:rFonts w:hint="eastAsia" w:eastAsia="黑体"/>
          <w:color w:val="auto"/>
          <w:lang w:eastAsia="zh-CN"/>
        </w:rPr>
      </w:pPr>
      <w:r>
        <w:rPr>
          <w:rFonts w:hint="eastAsia"/>
          <w:color w:val="auto"/>
          <w:lang w:val="en-US" w:eastAsia="zh-CN"/>
        </w:rPr>
        <w:t xml:space="preserve">化妆品用原料 </w:t>
      </w:r>
      <w:r>
        <w:rPr>
          <w:rFonts w:hint="eastAsia"/>
          <w:color w:val="auto"/>
          <w:lang w:eastAsia="zh-CN"/>
        </w:rPr>
        <w:t>异戊二醇</w:t>
      </w:r>
    </w:p>
    <w:tbl>
      <w:tblPr>
        <w:tblStyle w:val="32"/>
        <w:tblW w:w="985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78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color w:val="auto"/>
              </w:rPr>
            </w:pPr>
            <w:r>
              <w:rPr>
                <w:rFonts w:hint="eastAsia" w:ascii="黑体" w:cs="Times New Roman"/>
                <w:color w:val="auto"/>
                <w:lang w:val="en-US" w:eastAsia="zh-CN"/>
              </w:rPr>
              <w:t>Cosmetic ingredients-I</w:t>
            </w:r>
            <w:r>
              <w:rPr>
                <w:rFonts w:hint="eastAsia" w:ascii="黑体" w:hAnsi="Times New Roman" w:cs="Times New Roman"/>
                <w:color w:val="auto"/>
                <w:lang w:val="zh-CN" w:eastAsia="zh-CN"/>
              </w:rPr>
              <w:t>sopentyldiol</w: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1" layoutInCell="1" allowOverlap="1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4281805</wp:posOffset>
                      </wp:positionV>
                      <wp:extent cx="1905000" cy="254000"/>
                      <wp:effectExtent l="0" t="0" r="0" b="12700"/>
                      <wp:wrapNone/>
                      <wp:docPr id="7" name="RQ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Q" o:spid="_x0000_s1026" o:spt="1" style="position:absolute;left:0pt;margin-left:173.3pt;margin-top:337.15pt;height:20pt;width:150pt;z-index:-251657216;mso-width-relative:page;mso-height-relative:page;" fillcolor="#FFFFFF" filled="t" stroked="f" coordsize="21600,21600" o:gfxdata="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81"/>
              <w:rPr>
                <w:color w:val="auto"/>
              </w:rPr>
            </w:pPr>
          </w:p>
        </w:tc>
      </w:tr>
    </w:tbl>
    <w:p>
      <w:pPr>
        <w:pStyle w:val="129"/>
        <w:framePr w:hAnchor="page" w:x="1276" w:y="14056"/>
        <w:rPr>
          <w:color w:val="auto"/>
        </w:rPr>
      </w:pPr>
      <w:r>
        <w:rPr>
          <w:rFonts w:hint="eastAsia" w:ascii="黑体"/>
          <w:color w:val="auto"/>
        </w:rPr>
        <w:t>XXXX</w:t>
      </w:r>
      <w:r>
        <w:rPr>
          <w:rFonts w:ascii="黑体"/>
          <w:color w:val="auto"/>
        </w:rPr>
        <w:t>-</w:t>
      </w:r>
      <w:r>
        <w:rPr>
          <w:color w:val="auto"/>
        </w:rPr>
        <w:t xml:space="preserve"> </w:t>
      </w:r>
      <w:r>
        <w:rPr>
          <w:rFonts w:hint="eastAsia" w:ascii="黑体"/>
          <w:color w:val="auto"/>
        </w:rPr>
        <w:t>XX</w:t>
      </w:r>
      <w:r>
        <w:rPr>
          <w:rFonts w:ascii="黑体"/>
          <w:color w:val="auto"/>
        </w:rPr>
        <w:t>-</w:t>
      </w:r>
      <w:r>
        <w:rPr>
          <w:rFonts w:hint="eastAsia" w:ascii="黑体"/>
          <w:color w:val="auto"/>
        </w:rPr>
        <w:t>XX</w:t>
      </w:r>
      <w:r>
        <w:rPr>
          <w:rFonts w:hint="eastAsia"/>
          <w:color w:val="auto"/>
        </w:rPr>
        <w:t>发布</w: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5168" behindDoc="0" locked="1" layoutInCell="1" allowOverlap="1">
                <wp:simplePos x="0" y="0"/>
                <wp:positionH relativeFrom="column">
                  <wp:posOffset>-8255</wp:posOffset>
                </wp:positionH>
                <wp:positionV relativeFrom="page">
                  <wp:posOffset>9271000</wp:posOffset>
                </wp:positionV>
                <wp:extent cx="6120130" cy="0"/>
                <wp:effectExtent l="0" t="0" r="0" b="0"/>
                <wp:wrapNone/>
                <wp:docPr id="2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margin-left:-0.65pt;margin-top:730pt;height:0pt;width:481.9pt;mso-position-vertical-relative:page;z-index:251655168;mso-width-relative:page;mso-height-relative:page;" filled="f" stroked="t" coordsize="21600,21600" o:gfxdata="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BwN9H1gAAAAwBAAAPAAAAAAAAAAEAIAAAACIAAABkcnMv&#10;ZG93bnJldi54bWxQSwECFAAUAAAACACHTuJANzFesMwBAACOAwAADgAAAAAAAAABACAAAAAlAQAA&#10;ZHJzL2Uyb0RvYy54bWxQSwUGAAAAAAYABgBZAQAAYwUAAAAA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>
      <w:pPr>
        <w:pStyle w:val="130"/>
        <w:framePr w:hAnchor="page" w:x="6976" w:y="14011"/>
        <w:rPr>
          <w:color w:val="auto"/>
        </w:rPr>
      </w:pPr>
      <w:r>
        <w:rPr>
          <w:rFonts w:hint="eastAsia" w:ascii="黑体"/>
          <w:color w:val="auto"/>
        </w:rPr>
        <w:t>XXXX</w:t>
      </w:r>
      <w:r>
        <w:rPr>
          <w:rFonts w:ascii="黑体"/>
          <w:color w:val="auto"/>
        </w:rPr>
        <w:t>-</w:t>
      </w:r>
      <w:r>
        <w:rPr>
          <w:color w:val="auto"/>
        </w:rPr>
        <w:t xml:space="preserve"> </w:t>
      </w:r>
      <w:r>
        <w:rPr>
          <w:rFonts w:hint="eastAsia" w:ascii="黑体"/>
          <w:color w:val="auto"/>
        </w:rPr>
        <w:t>XX</w:t>
      </w:r>
      <w:r>
        <w:rPr>
          <w:color w:val="auto"/>
        </w:rPr>
        <w:t xml:space="preserve"> </w:t>
      </w:r>
      <w:r>
        <w:rPr>
          <w:rFonts w:ascii="黑体"/>
          <w:color w:val="auto"/>
        </w:rPr>
        <w:t>-</w:t>
      </w:r>
      <w:r>
        <w:rPr>
          <w:rFonts w:ascii="黑体" w:hAnsi="黑体"/>
          <w:color w:val="auto"/>
        </w:rPr>
        <w:t xml:space="preserve"> </w:t>
      </w:r>
      <w:r>
        <w:rPr>
          <w:rFonts w:hint="eastAsia" w:ascii="黑体" w:hAnsi="黑体"/>
          <w:color w:val="auto"/>
        </w:rPr>
        <w:t>XX</w:t>
      </w:r>
      <w:r>
        <w:rPr>
          <w:rFonts w:hint="eastAsia"/>
          <w:color w:val="auto"/>
        </w:rPr>
        <w:t>实施</w:t>
      </w:r>
    </w:p>
    <w:p>
      <w:pPr>
        <w:pStyle w:val="110"/>
        <w:rPr>
          <w:color w:val="auto"/>
        </w:rPr>
      </w:pPr>
      <w:bookmarkStart w:id="0" w:name="fm"/>
      <w:r>
        <w:rPr>
          <w:color w:val="auto"/>
          <w:w w:val="100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1810385</wp:posOffset>
                </wp:positionH>
                <wp:positionV relativeFrom="paragraph">
                  <wp:posOffset>-3942715</wp:posOffset>
                </wp:positionV>
                <wp:extent cx="1270000" cy="304800"/>
                <wp:effectExtent l="0" t="0" r="6350" b="0"/>
                <wp:wrapNone/>
                <wp:docPr id="6" name="LB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LB" o:spid="_x0000_s1026" o:spt="1" style="position:absolute;left:0pt;margin-left:142.55pt;margin-top:-310.45pt;height:24pt;width:100pt;z-index:-251658240;mso-width-relative:page;mso-height-relative:page;" fillcolor="#FFFFFF" filled="t" stroked="f" coordsize="21600,21600" o:gfxdata="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Pm17tbZAAAADQEAAA8AAAAAAAAAAQAgAAAAIgAAAGRy&#10;cy9kb3ducmV2LnhtbFBLAQIUABQAAAAIAIdO4kAIpLFckgEAAB8DAAAOAAAAAAAAAAEAIAAAACgB&#10;AABkcnMvZTJvRG9jLnhtbFBLBQYAAAAABgAGAFkBAAAs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color w:val="auto"/>
          <w:w w:val="100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4413885</wp:posOffset>
                </wp:positionH>
                <wp:positionV relativeFrom="paragraph">
                  <wp:posOffset>-7435215</wp:posOffset>
                </wp:positionV>
                <wp:extent cx="1143000" cy="228600"/>
                <wp:effectExtent l="0" t="0" r="0" b="0"/>
                <wp:wrapNone/>
                <wp:docPr id="5" name="D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DT" o:spid="_x0000_s1026" o:spt="1" style="position:absolute;left:0pt;margin-left:347.55pt;margin-top:-585.45pt;height:18pt;width:90pt;z-index:-251659264;mso-width-relative:page;mso-height-relative:page;" fillcolor="#FFFFFF" filled="t" stroked="f" coordsize="21600,21600" o:gfxdata="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N/JihHaAAAADwEAAA8AAAAAAAAAAQAgAAAAIgAAAGRy&#10;cy9kb3ducmV2LnhtbFBLAQIUABQAAAAIAIdO4kDtlB+tkQEAAB8DAAAOAAAAAAAAAAEAIAAAACkB&#10;AABkcnMvZTJvRG9jLnhtbFBLBQYAAAAABgAGAFkBAAAs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color w:val="auto"/>
          <w:w w:val="10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-464820</wp:posOffset>
                </wp:positionH>
                <wp:positionV relativeFrom="paragraph">
                  <wp:posOffset>-7021195</wp:posOffset>
                </wp:positionV>
                <wp:extent cx="6120130" cy="0"/>
                <wp:effectExtent l="0" t="0" r="0" b="0"/>
                <wp:wrapNone/>
                <wp:docPr id="4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margin-left:-36.6pt;margin-top:-552.85pt;height:0pt;width:481.9pt;z-index:251656192;mso-width-relative:page;mso-height-relative:page;" filled="f" stroked="t" coordsize="21600,21600" o:gfxdata="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7JZGg2AAAAA8BAAAPAAAAAAAAAAEAIAAAACIAAABk&#10;cnMvZG93bnJldi54bWxQSwECFAAUAAAACACHTuJAmICtZM0BAACOAwAADgAAAAAAAAABACAAAAAn&#10;AQAAZHJzL2Uyb0RvYy54bWxQSwUGAAAAAAYABgBZAQAAZ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bookmarkEnd w:id="0"/>
      <w:r>
        <w:rPr>
          <w:color w:val="auto"/>
        </w:rPr>
        <w:fldChar w:fldCharType="begin">
          <w:ffData>
            <w:name w:val="fm"/>
            <w:enabled/>
            <w:calcOnExit w:val="0"/>
            <w:textInput/>
          </w:ffData>
        </w:fldChar>
      </w:r>
      <w:r>
        <w:rPr>
          <w:color w:val="auto"/>
        </w:rPr>
        <w:instrText xml:space="preserve"> FORMTEXT </w:instrText>
      </w:r>
      <w:r>
        <w:rPr>
          <w:color w:val="auto"/>
        </w:rPr>
        <w:fldChar w:fldCharType="separate"/>
      </w:r>
      <w:r>
        <w:rPr>
          <w:rFonts w:hint="eastAsia"/>
          <w:color w:val="auto"/>
        </w:rPr>
        <w:t>中国香料香精化妆品工业协会</w:t>
      </w:r>
      <w:r>
        <w:rPr>
          <w:color w:val="auto"/>
        </w:rPr>
        <w:fldChar w:fldCharType="end"/>
      </w:r>
      <w:r>
        <w:rPr>
          <w:color w:val="auto"/>
        </w:rPr>
        <w:t>   </w:t>
      </w:r>
      <w:r>
        <w:rPr>
          <w:rStyle w:val="72"/>
          <w:rFonts w:hint="eastAsia"/>
          <w:color w:val="auto"/>
        </w:rPr>
        <w:t>发布</w:t>
      </w:r>
    </w:p>
    <w:p>
      <w:pPr>
        <w:pStyle w:val="122"/>
        <w:spacing w:before="156" w:after="156"/>
        <w:ind w:firstLine="1050" w:firstLineChars="500"/>
        <w:rPr>
          <w:color w:val="auto"/>
        </w:rPr>
      </w:pPr>
    </w:p>
    <w:p>
      <w:pPr>
        <w:pStyle w:val="122"/>
        <w:ind w:firstLine="420" w:firstLineChars="200"/>
        <w:rPr>
          <w:color w:val="auto"/>
        </w:rPr>
      </w:pPr>
    </w:p>
    <w:tbl>
      <w:tblPr>
        <w:tblStyle w:val="32"/>
        <w:tblW w:w="985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22"/>
              <w:rPr>
                <w:color w:val="auto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0" r="9525" b="11430"/>
                      <wp:wrapNone/>
                      <wp:docPr id="9" name="BAH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BAH" o:spid="_x0000_s1026" o:spt="1" style="position:absolute;left:0pt;margin-left:-5.25pt;margin-top:0pt;height:15.6pt;width:68.25pt;z-index:-251653120;mso-width-relative:page;mso-height-relative:page;" fillcolor="#FFFFFF" filled="t" stroked="f" coordsize="21600,21600" o:gfxdata="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MiuL+zVAAAABwEAAA8AAAAAAAAAAQAgAAAAIgAAAGRy&#10;cy9kb3ducmV2LnhtbFBLAQIUABQAAAAIAIdO4kA3ICCHlgEAAB8DAAAOAAAAAAAAAAEAIAAAACQB&#10;AABkcnMvZTJvRG9jLnhtbFBLBQYAAAAABgAGAFkBAAAs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>
      <w:pPr>
        <w:pStyle w:val="109"/>
        <w:ind w:left="1275" w:leftChars="607" w:right="1270" w:rightChars="605"/>
        <w:rPr>
          <w:color w:val="auto"/>
        </w:rPr>
      </w:pPr>
      <w:r>
        <w:rPr>
          <w:rFonts w:hint="eastAsia"/>
          <w:color w:val="auto"/>
        </w:rPr>
        <w:t>团体标准</w:t>
      </w:r>
    </w:p>
    <w:p>
      <w:pPr>
        <w:pStyle w:val="46"/>
        <w:rPr>
          <w:rFonts w:hAnsi="黑体"/>
          <w:color w:val="auto"/>
        </w:rPr>
      </w:pPr>
      <w:r>
        <w:rPr>
          <w:rFonts w:hint="eastAsia" w:hAnsi="黑体"/>
          <w:color w:val="auto"/>
        </w:rPr>
        <w:t>T</w:t>
      </w:r>
      <w:r>
        <w:rPr>
          <w:rFonts w:ascii="Times New Roman"/>
          <w:color w:val="auto"/>
        </w:rPr>
        <w:t>/</w:t>
      </w:r>
      <w:r>
        <w:rPr>
          <w:rFonts w:hint="eastAsia" w:hAnsi="黑体"/>
          <w:color w:val="auto"/>
        </w:rPr>
        <w:t xml:space="preserve">CAFFCI </w:t>
      </w:r>
      <w:r>
        <w:rPr>
          <w:rFonts w:hAnsi="黑体"/>
          <w:color w:val="auto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" w:name="StdNo2"/>
      <w:r>
        <w:rPr>
          <w:rFonts w:hAnsi="黑体"/>
          <w:color w:val="auto"/>
        </w:rPr>
        <w:instrText xml:space="preserve"> FORMTEXT </w:instrText>
      </w:r>
      <w:r>
        <w:rPr>
          <w:rFonts w:hAnsi="黑体"/>
          <w:color w:val="auto"/>
        </w:rPr>
        <w:fldChar w:fldCharType="separate"/>
      </w:r>
      <w:r>
        <w:rPr>
          <w:rFonts w:hAnsi="黑体"/>
          <w:color w:val="auto"/>
        </w:rPr>
        <w:t>XXXX</w:t>
      </w:r>
      <w:r>
        <w:rPr>
          <w:rFonts w:hAnsi="黑体"/>
          <w:color w:val="auto"/>
        </w:rPr>
        <w:fldChar w:fldCharType="end"/>
      </w:r>
      <w:bookmarkEnd w:id="1"/>
      <w:r>
        <w:rPr>
          <w:rFonts w:hint="eastAsia" w:hAnsi="黑体"/>
          <w:color w:val="auto"/>
        </w:rPr>
        <w:t>-</w:t>
      </w:r>
      <w:r>
        <w:rPr>
          <w:rFonts w:hAnsi="黑体"/>
          <w:color w:val="auto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hAnsi="黑体"/>
          <w:color w:val="auto"/>
        </w:rPr>
        <w:instrText xml:space="preserve"> FORMTEXT </w:instrText>
      </w:r>
      <w:r>
        <w:rPr>
          <w:rFonts w:hAnsi="黑体"/>
          <w:color w:val="auto"/>
        </w:rPr>
        <w:fldChar w:fldCharType="separate"/>
      </w:r>
      <w:r>
        <w:rPr>
          <w:rFonts w:hAnsi="黑体"/>
          <w:color w:val="auto"/>
        </w:rPr>
        <w:t>XXXX</w:t>
      </w:r>
      <w:r>
        <w:rPr>
          <w:rFonts w:hAnsi="黑体"/>
          <w:color w:val="auto"/>
        </w:rPr>
        <w:fldChar w:fldCharType="end"/>
      </w:r>
    </w:p>
    <w:tbl>
      <w:tblPr>
        <w:tblStyle w:val="32"/>
        <w:tblW w:w="935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5"/>
              <w:wordWrap w:val="0"/>
              <w:rPr>
                <w:color w:val="auto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column">
                        <wp:posOffset>4734560</wp:posOffset>
                      </wp:positionH>
                      <wp:positionV relativeFrom="paragraph">
                        <wp:posOffset>34290</wp:posOffset>
                      </wp:positionV>
                      <wp:extent cx="1143000" cy="228600"/>
                      <wp:effectExtent l="0" t="0" r="0" b="0"/>
                      <wp:wrapNone/>
                      <wp:docPr id="8" name="矩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8" o:spid="_x0000_s1026" o:spt="1" style="position:absolute;left:0pt;margin-left:372.8pt;margin-top:2.7pt;height:18pt;width:90pt;z-index:-251654144;mso-width-relative:page;mso-height-relative:page;" fillcolor="#FFFFFF" filled="t" stroked="f" coordsize="21600,21600" o:gfxdata="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B5g8svWAAAACAEAAA8AAAAAAAAA&#10;AQAgAAAAIgAAAGRycy9kb3ducmV2LnhtbFBLAQIUABQAAAAIAIdO4kCfs3nUoQEAACYDAAAOAAAA&#10;AAAAAAEAIAAAACUBAABkcnMvZTJvRG9jLnhtbFBLBQYAAAAABgAGAFkBAAA4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>
      <w:pPr>
        <w:pStyle w:val="24"/>
        <w:rPr>
          <w:color w:val="auto"/>
        </w:rPr>
        <w:sectPr>
          <w:pgSz w:w="11906" w:h="16838"/>
          <w:pgMar w:top="567" w:right="850" w:bottom="1134" w:left="1418" w:header="0" w:footer="0" w:gutter="0"/>
          <w:pgNumType w:start="1"/>
          <w:cols w:space="425" w:num="1"/>
          <w:docGrid w:type="lines" w:linePitch="312" w:charSpace="0"/>
        </w:sectPr>
      </w:pPr>
    </w:p>
    <w:p>
      <w:pPr>
        <w:pStyle w:val="111"/>
        <w:rPr>
          <w:color w:val="auto"/>
        </w:rPr>
      </w:pPr>
      <w:r>
        <w:rPr>
          <w:rFonts w:hint="eastAsia"/>
          <w:color w:val="auto"/>
        </w:rPr>
        <w:t>前</w:t>
      </w:r>
      <w:bookmarkStart w:id="2" w:name="BKQY"/>
      <w:r>
        <w:rPr>
          <w:color w:val="auto"/>
        </w:rPr>
        <w:t>  </w:t>
      </w:r>
      <w:r>
        <w:rPr>
          <w:rFonts w:hint="eastAsia"/>
          <w:color w:val="auto"/>
        </w:rPr>
        <w:t>言</w:t>
      </w:r>
      <w:bookmarkEnd w:id="2"/>
    </w:p>
    <w:p>
      <w:pPr>
        <w:spacing w:line="300" w:lineRule="exact"/>
        <w:ind w:firstLine="48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本标准按照GB/T 1.1-2009的规则起草。</w:t>
      </w:r>
    </w:p>
    <w:p>
      <w:pPr>
        <w:spacing w:line="300" w:lineRule="exact"/>
        <w:ind w:firstLine="48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本标准由中国香料香精化妆品工业协会提出。</w:t>
      </w:r>
    </w:p>
    <w:p>
      <w:pPr>
        <w:spacing w:line="300" w:lineRule="exact"/>
        <w:ind w:firstLine="48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本标准由中国香料香精化妆品工业协会归口。</w:t>
      </w:r>
    </w:p>
    <w:p>
      <w:pPr>
        <w:spacing w:line="300" w:lineRule="exact"/>
        <w:ind w:firstLine="48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本标准起草单位：山东新和成药业有限公司、花安堂生物科技集团有限公司。</w:t>
      </w:r>
    </w:p>
    <w:p>
      <w:pPr>
        <w:spacing w:line="300" w:lineRule="exact"/>
        <w:ind w:firstLine="480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本标准主要起草人：邱金倬、马啸、何廷刚、肖桂春、董新维、杨洪肖。</w:t>
      </w:r>
    </w:p>
    <w:p>
      <w:pPr>
        <w:spacing w:line="300" w:lineRule="exact"/>
        <w:ind w:firstLine="525" w:firstLineChars="250"/>
        <w:rPr>
          <w:rFonts w:asciiTheme="minorEastAsia" w:hAnsiTheme="minorEastAsia" w:eastAsiaTheme="minorEastAsia"/>
          <w:color w:val="auto"/>
          <w:szCs w:val="21"/>
        </w:rPr>
      </w:pPr>
    </w:p>
    <w:p>
      <w:pPr>
        <w:pStyle w:val="24"/>
        <w:rPr>
          <w:color w:val="auto"/>
        </w:rPr>
        <w:sectPr>
          <w:headerReference r:id="rId3" w:type="default"/>
          <w:footerReference r:id="rId4" w:type="default"/>
          <w:pgSz w:w="11906" w:h="16838"/>
          <w:pgMar w:top="567" w:right="1134" w:bottom="1134" w:left="1418" w:header="1418" w:footer="1134" w:gutter="0"/>
          <w:pgNumType w:fmt="upperRoman" w:start="1"/>
          <w:cols w:space="425" w:num="1"/>
          <w:formProt w:val="0"/>
          <w:docGrid w:type="lines" w:linePitch="312" w:charSpace="0"/>
        </w:sectPr>
      </w:pPr>
    </w:p>
    <w:p>
      <w:pPr>
        <w:pStyle w:val="49"/>
        <w:rPr>
          <w:rFonts w:hint="eastAsia" w:eastAsia="黑体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化妆品用原料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eastAsia="zh-CN"/>
        </w:rPr>
        <w:t>异戊二醇</w:t>
      </w:r>
    </w:p>
    <w:p>
      <w:pPr>
        <w:pStyle w:val="44"/>
        <w:spacing w:before="312" w:after="312"/>
        <w:rPr>
          <w:color w:val="auto"/>
        </w:rPr>
      </w:pPr>
      <w:r>
        <w:rPr>
          <w:rFonts w:hint="eastAsia"/>
          <w:color w:val="auto"/>
        </w:rPr>
        <w:t>范围</w:t>
      </w:r>
    </w:p>
    <w:p>
      <w:pPr>
        <w:pStyle w:val="24"/>
        <w:rPr>
          <w:rFonts w:hint="eastAsia" w:hAnsi="宋体"/>
          <w:color w:val="auto"/>
          <w:szCs w:val="21"/>
        </w:rPr>
      </w:pPr>
      <w:r>
        <w:rPr>
          <w:rFonts w:hint="eastAsia" w:hAnsi="宋体"/>
          <w:color w:val="auto"/>
          <w:szCs w:val="21"/>
        </w:rPr>
        <w:t>本标准规定了化妆品用原料异戊二醇的要求、试验方法、检测规则以及包装、标志、运输和贮存、保质期。</w:t>
      </w:r>
    </w:p>
    <w:p>
      <w:pPr>
        <w:pStyle w:val="24"/>
        <w:rPr>
          <w:color w:val="auto"/>
        </w:rPr>
      </w:pPr>
      <w:r>
        <w:rPr>
          <w:rFonts w:hint="eastAsia" w:hAnsi="宋体"/>
          <w:color w:val="auto"/>
          <w:szCs w:val="21"/>
        </w:rPr>
        <w:t>本标准适用于以3-甲基-3-丁烯醇为原料制得的异戊二醇，可作为保湿剂用于化妆品。</w:t>
      </w:r>
    </w:p>
    <w:p>
      <w:pPr>
        <w:pStyle w:val="44"/>
        <w:spacing w:before="312" w:after="312"/>
        <w:rPr>
          <w:color w:val="auto"/>
        </w:rPr>
      </w:pPr>
      <w:r>
        <w:rPr>
          <w:rFonts w:hint="eastAsia"/>
          <w:color w:val="auto"/>
        </w:rPr>
        <w:t>规范性引用文件</w:t>
      </w:r>
    </w:p>
    <w:p>
      <w:pPr>
        <w:pStyle w:val="24"/>
        <w:rPr>
          <w:color w:val="auto"/>
        </w:rPr>
      </w:pPr>
      <w:r>
        <w:rPr>
          <w:rFonts w:hint="eastAsia"/>
          <w:color w:val="auto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>
      <w:pPr>
        <w:pStyle w:val="24"/>
        <w:rPr>
          <w:rFonts w:hint="eastAsia" w:hAnsi="宋体"/>
          <w:color w:val="auto"/>
          <w:szCs w:val="21"/>
        </w:rPr>
      </w:pPr>
      <w:r>
        <w:rPr>
          <w:rFonts w:hint="eastAsia" w:hAnsi="宋体"/>
          <w:color w:val="auto"/>
          <w:szCs w:val="21"/>
        </w:rPr>
        <w:t>GB/T 9722</w:t>
      </w:r>
      <w:r>
        <w:rPr>
          <w:rFonts w:hint="eastAsia" w:hAnsi="宋体"/>
          <w:color w:val="auto"/>
          <w:szCs w:val="21"/>
        </w:rPr>
        <w:t xml:space="preserve">  </w:t>
      </w:r>
      <w:r>
        <w:rPr>
          <w:rFonts w:hint="eastAsia" w:hAnsi="宋体"/>
          <w:color w:val="auto"/>
          <w:szCs w:val="21"/>
          <w:lang w:val="en-US" w:eastAsia="zh-CN"/>
        </w:rPr>
        <w:t xml:space="preserve"> </w:t>
      </w:r>
      <w:r>
        <w:rPr>
          <w:rFonts w:hint="eastAsia" w:hAnsi="宋体"/>
          <w:color w:val="auto"/>
          <w:szCs w:val="21"/>
        </w:rPr>
        <w:t>化学试剂 气相色谱法通则</w:t>
      </w:r>
    </w:p>
    <w:p>
      <w:pPr>
        <w:pStyle w:val="24"/>
        <w:rPr>
          <w:rFonts w:hint="eastAsia" w:hAnsi="宋体"/>
          <w:color w:val="auto"/>
          <w:szCs w:val="21"/>
        </w:rPr>
      </w:pPr>
      <w:r>
        <w:rPr>
          <w:rFonts w:hint="eastAsia" w:hAnsi="宋体"/>
          <w:color w:val="auto"/>
          <w:szCs w:val="21"/>
        </w:rPr>
        <w:t>GB/T 13531.4</w:t>
      </w:r>
      <w:r>
        <w:rPr>
          <w:rFonts w:hint="eastAsia" w:hAnsi="宋体"/>
          <w:color w:val="auto"/>
          <w:szCs w:val="21"/>
          <w:lang w:val="en-US" w:eastAsia="zh-CN"/>
        </w:rPr>
        <w:t xml:space="preserve">   </w:t>
      </w:r>
      <w:r>
        <w:rPr>
          <w:rFonts w:hint="eastAsia" w:hAnsi="宋体"/>
          <w:color w:val="auto"/>
          <w:szCs w:val="21"/>
        </w:rPr>
        <w:t>化妆品通用检验方法 相对密度的测定</w:t>
      </w:r>
    </w:p>
    <w:p>
      <w:pPr>
        <w:pStyle w:val="24"/>
        <w:rPr>
          <w:rFonts w:hint="eastAsia" w:hAnsi="宋体"/>
          <w:color w:val="auto"/>
          <w:szCs w:val="21"/>
        </w:rPr>
      </w:pPr>
      <w:r>
        <w:rPr>
          <w:rFonts w:hint="eastAsia" w:hAnsi="宋体"/>
          <w:color w:val="auto"/>
          <w:szCs w:val="21"/>
        </w:rPr>
        <w:t>GB/T 13531.7</w:t>
      </w:r>
      <w:r>
        <w:rPr>
          <w:rFonts w:hint="eastAsia" w:hAnsi="宋体"/>
          <w:color w:val="auto"/>
          <w:szCs w:val="21"/>
          <w:lang w:val="en-US" w:eastAsia="zh-CN"/>
        </w:rPr>
        <w:t xml:space="preserve">   </w:t>
      </w:r>
      <w:r>
        <w:rPr>
          <w:rFonts w:hint="eastAsia" w:hAnsi="宋体"/>
          <w:color w:val="auto"/>
          <w:szCs w:val="21"/>
        </w:rPr>
        <w:t>化妆品通用检验方法 折光指数的测定</w:t>
      </w:r>
    </w:p>
    <w:p>
      <w:pPr>
        <w:pStyle w:val="24"/>
        <w:ind w:firstLine="420"/>
        <w:rPr>
          <w:rFonts w:hint="eastAsia" w:hAnsi="宋体" w:eastAsia="宋体" w:cs="Arial"/>
          <w:color w:val="auto"/>
          <w:szCs w:val="18"/>
          <w:lang w:val="en-US" w:eastAsia="zh-CN"/>
        </w:rPr>
      </w:pPr>
      <w:r>
        <w:rPr>
          <w:rFonts w:hint="eastAsia" w:hAnsi="宋体" w:cs="Arial"/>
          <w:color w:val="auto"/>
          <w:szCs w:val="18"/>
          <w:lang w:val="en-US" w:eastAsia="zh-CN"/>
        </w:rPr>
        <w:t>GB/T 14454.2   香料 香气评定法</w:t>
      </w:r>
    </w:p>
    <w:p>
      <w:pPr>
        <w:pStyle w:val="24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right="0" w:rightChars="0" w:firstLine="420" w:firstLineChars="200"/>
        <w:jc w:val="both"/>
        <w:textAlignment w:val="auto"/>
        <w:outlineLvl w:val="9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GB/T 6283   化工产品中水分含量的测定 卡尔·费休法（通用方法）</w:t>
      </w:r>
    </w:p>
    <w:p>
      <w:pPr>
        <w:pStyle w:val="24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right="0" w:rightChars="0" w:firstLine="420" w:firstLineChars="200"/>
        <w:jc w:val="both"/>
        <w:textAlignment w:val="auto"/>
        <w:outlineLvl w:val="9"/>
        <w:rPr>
          <w:rFonts w:hint="eastAsia" w:hAnsi="宋体"/>
          <w:color w:val="auto"/>
          <w:highlight w:val="none"/>
          <w:lang w:val="en-US" w:eastAsia="zh-CN"/>
        </w:rPr>
      </w:pPr>
      <w:r>
        <w:rPr>
          <w:rFonts w:hAnsi="宋体"/>
          <w:color w:val="auto"/>
          <w:highlight w:val="none"/>
        </w:rPr>
        <w:t xml:space="preserve">GB/T </w:t>
      </w:r>
      <w:r>
        <w:rPr>
          <w:rFonts w:hint="eastAsia" w:hAnsi="宋体"/>
          <w:color w:val="auto"/>
          <w:highlight w:val="none"/>
          <w:lang w:val="en-US" w:eastAsia="zh-CN"/>
        </w:rPr>
        <w:t>7531</w:t>
      </w:r>
      <w:r>
        <w:rPr>
          <w:rFonts w:hint="eastAsia" w:hAnsi="宋体"/>
          <w:color w:val="auto"/>
          <w:highlight w:val="none"/>
        </w:rPr>
        <w:t xml:space="preserve">   </w:t>
      </w:r>
      <w:r>
        <w:rPr>
          <w:rFonts w:hint="eastAsia" w:hAnsi="宋体"/>
          <w:color w:val="auto"/>
          <w:highlight w:val="none"/>
          <w:lang w:val="en-US" w:eastAsia="zh-CN"/>
        </w:rPr>
        <w:t>有机化工产品灼烧残渣的测定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Times New Roman"/>
          <w:color w:val="auto"/>
          <w:kern w:val="0"/>
          <w:sz w:val="21"/>
          <w:szCs w:val="22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kern w:val="0"/>
          <w:sz w:val="21"/>
          <w:szCs w:val="22"/>
          <w:highlight w:val="none"/>
          <w:lang w:val="en-US" w:eastAsia="zh-CN" w:bidi="ar-SA"/>
        </w:rPr>
        <w:t>GB/T 6678   化工产品采样总则</w:t>
      </w:r>
    </w:p>
    <w:p>
      <w:pPr>
        <w:pStyle w:val="24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Times New Roman"/>
          <w:color w:val="auto"/>
          <w:kern w:val="0"/>
          <w:sz w:val="21"/>
          <w:szCs w:val="22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kern w:val="0"/>
          <w:sz w:val="21"/>
          <w:szCs w:val="22"/>
          <w:highlight w:val="none"/>
          <w:lang w:val="en-US" w:eastAsia="zh-CN" w:bidi="ar-SA"/>
        </w:rPr>
        <w:t>GB/T 6680   液体化工产品采样通则</w:t>
      </w:r>
    </w:p>
    <w:p>
      <w:pPr>
        <w:pStyle w:val="44"/>
        <w:spacing w:before="312" w:after="312"/>
        <w:rPr>
          <w:bCs/>
          <w:color w:val="auto"/>
          <w:szCs w:val="21"/>
        </w:rPr>
      </w:pPr>
      <w:r>
        <w:rPr>
          <w:rFonts w:hint="eastAsia"/>
          <w:bCs/>
          <w:color w:val="auto"/>
          <w:szCs w:val="21"/>
        </w:rPr>
        <w:t>化学名称、CAS号、分子式、结构式、相对分子质量</w:t>
      </w:r>
    </w:p>
    <w:p>
      <w:pPr>
        <w:pStyle w:val="41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0" w:after="156" w:afterLines="0" w:line="240" w:lineRule="auto"/>
        <w:ind w:left="0" w:leftChars="0" w:right="0" w:rightChars="0" w:firstLine="420" w:firstLineChars="200"/>
        <w:jc w:val="left"/>
        <w:textAlignment w:val="auto"/>
        <w:outlineLvl w:val="2"/>
        <w:rPr>
          <w:rFonts w:hint="eastAsia" w:ascii="宋体" w:hAnsi="宋体" w:eastAsia="宋体" w:cs="宋体"/>
          <w:color w:val="auto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 w:bidi="ar-SA"/>
        </w:rPr>
        <w:t>化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 w:bidi="ar-SA"/>
        </w:rPr>
        <w:t>学名称：3-甲基-1,3-丁二醇</w:t>
      </w:r>
    </w:p>
    <w:p>
      <w:pPr>
        <w:pStyle w:val="41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0" w:after="156" w:afterLines="0" w:line="240" w:lineRule="auto"/>
        <w:ind w:left="0" w:leftChars="0" w:right="0" w:rightChars="0" w:firstLine="420" w:firstLineChars="200"/>
        <w:jc w:val="left"/>
        <w:textAlignment w:val="auto"/>
        <w:outlineLvl w:val="2"/>
        <w:rPr>
          <w:rFonts w:hint="eastAsia" w:ascii="宋体" w:hAnsi="宋体" w:eastAsia="宋体" w:cs="宋体"/>
          <w:color w:val="auto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 w:bidi="ar-SA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866775</wp:posOffset>
            </wp:positionH>
            <wp:positionV relativeFrom="paragraph">
              <wp:posOffset>239395</wp:posOffset>
            </wp:positionV>
            <wp:extent cx="1576070" cy="796290"/>
            <wp:effectExtent l="0" t="0" r="5080" b="3810"/>
            <wp:wrapNone/>
            <wp:docPr id="12" name="图片 12" descr="异戊二醇结构式 车间提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异戊二醇结构式 车间提供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76070" cy="796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 w:bidi="ar-SA"/>
        </w:rPr>
        <w:t>CAS号：2568-33-4</w:t>
      </w:r>
    </w:p>
    <w:p>
      <w:pPr>
        <w:pStyle w:val="41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0" w:after="156" w:afterLines="0" w:line="240" w:lineRule="auto"/>
        <w:ind w:left="0" w:leftChars="0" w:right="0" w:rightChars="0" w:firstLine="420" w:firstLineChars="200"/>
        <w:jc w:val="left"/>
        <w:textAlignment w:val="auto"/>
        <w:outlineLvl w:val="2"/>
        <w:rPr>
          <w:rFonts w:hint="eastAsia" w:ascii="宋体" w:hAnsi="宋体" w:eastAsia="宋体" w:cs="宋体"/>
          <w:color w:val="auto"/>
          <w:sz w:val="21"/>
          <w:szCs w:val="28"/>
          <w:vertAlign w:val="subscript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 w:bidi="ar-SA"/>
        </w:rPr>
        <w:t>分子式：C</w:t>
      </w:r>
      <w:r>
        <w:rPr>
          <w:rFonts w:hint="eastAsia" w:ascii="宋体" w:hAnsi="宋体" w:eastAsia="宋体" w:cs="宋体"/>
          <w:color w:val="auto"/>
          <w:sz w:val="21"/>
          <w:szCs w:val="28"/>
          <w:vertAlign w:val="subscript"/>
          <w:lang w:val="en-US" w:eastAsia="zh-CN" w:bidi="ar-SA"/>
        </w:rPr>
        <w:t>5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 w:bidi="ar-SA"/>
        </w:rPr>
        <w:t>H</w:t>
      </w:r>
      <w:r>
        <w:rPr>
          <w:rFonts w:hint="eastAsia" w:ascii="宋体" w:hAnsi="宋体" w:eastAsia="宋体" w:cs="宋体"/>
          <w:color w:val="auto"/>
          <w:sz w:val="21"/>
          <w:szCs w:val="28"/>
          <w:vertAlign w:val="subscript"/>
          <w:lang w:val="en-US" w:eastAsia="zh-CN" w:bidi="ar-SA"/>
        </w:rPr>
        <w:t>12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 w:bidi="ar-SA"/>
        </w:rPr>
        <w:t>O</w:t>
      </w:r>
      <w:r>
        <w:rPr>
          <w:rFonts w:hint="eastAsia" w:ascii="宋体" w:hAnsi="宋体" w:eastAsia="宋体" w:cs="宋体"/>
          <w:color w:val="auto"/>
          <w:sz w:val="21"/>
          <w:szCs w:val="28"/>
          <w:vertAlign w:val="subscript"/>
          <w:lang w:val="en-US" w:eastAsia="zh-CN" w:bidi="ar-SA"/>
        </w:rPr>
        <w:t>2</w:t>
      </w:r>
    </w:p>
    <w:p>
      <w:pPr>
        <w:pStyle w:val="24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6" w:after="156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结构式：</w:t>
      </w:r>
    </w:p>
    <w:p>
      <w:pPr>
        <w:pStyle w:val="41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0" w:after="156" w:afterLines="0" w:line="240" w:lineRule="auto"/>
        <w:ind w:left="0" w:leftChars="0" w:right="0" w:rightChars="0" w:firstLine="420" w:firstLineChars="200"/>
        <w:jc w:val="left"/>
        <w:textAlignment w:val="auto"/>
        <w:outlineLvl w:val="2"/>
        <w:rPr>
          <w:rFonts w:hint="eastAsia" w:ascii="宋体" w:hAnsi="宋体" w:eastAsia="宋体" w:cs="宋体"/>
          <w:color w:val="auto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 w:bidi="ar-SA"/>
        </w:rPr>
        <w:t>相对分子分子量：104.15</w:t>
      </w:r>
    </w:p>
    <w:p>
      <w:pPr>
        <w:pStyle w:val="44"/>
        <w:spacing w:before="312" w:after="312"/>
        <w:rPr>
          <w:bCs/>
          <w:color w:val="auto"/>
          <w:szCs w:val="21"/>
        </w:rPr>
      </w:pPr>
      <w:r>
        <w:rPr>
          <w:rFonts w:hint="eastAsia"/>
          <w:bCs/>
          <w:color w:val="auto"/>
          <w:szCs w:val="21"/>
        </w:rPr>
        <w:t>要求</w:t>
      </w:r>
    </w:p>
    <w:p>
      <w:pPr>
        <w:pStyle w:val="41"/>
        <w:spacing w:before="156" w:after="156"/>
        <w:rPr>
          <w:rFonts w:asciiTheme="minorEastAsia" w:hAnsiTheme="minorEastAsia" w:eastAsiaTheme="minorEastAsia"/>
          <w:color w:val="auto"/>
        </w:rPr>
      </w:pPr>
      <w:r>
        <w:rPr>
          <w:rFonts w:hint="eastAsia" w:ascii="宋体" w:hAnsi="宋体"/>
          <w:color w:val="auto"/>
          <w:lang w:eastAsia="zh-CN"/>
        </w:rPr>
        <w:t>性状</w:t>
      </w:r>
    </w:p>
    <w:p>
      <w:pPr>
        <w:pStyle w:val="41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0" w:after="156" w:afterLines="0" w:line="240" w:lineRule="auto"/>
        <w:ind w:left="0" w:leftChars="0" w:right="0" w:rightChars="0" w:firstLine="420" w:firstLineChars="200"/>
        <w:jc w:val="left"/>
        <w:textAlignment w:val="auto"/>
        <w:outlineLvl w:val="2"/>
        <w:rPr>
          <w:rFonts w:hint="eastAsia" w:ascii="宋体" w:hAnsi="宋体" w:eastAsia="宋体" w:cs="Times New Roman"/>
          <w:color w:val="auto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sz w:val="21"/>
          <w:szCs w:val="21"/>
          <w:lang w:val="en-US" w:eastAsia="zh-CN" w:bidi="ar-SA"/>
        </w:rPr>
        <w:t>本品为无色透明液体，带少许特征性气味。</w:t>
      </w:r>
    </w:p>
    <w:p>
      <w:pPr>
        <w:pStyle w:val="41"/>
        <w:spacing w:before="156" w:after="156"/>
        <w:rPr>
          <w:rFonts w:hint="eastAsia" w:ascii="宋体" w:hAnsi="宋体" w:eastAsia="宋体" w:cs="Times New Roman"/>
          <w:color w:val="auto"/>
          <w:sz w:val="21"/>
          <w:szCs w:val="22"/>
          <w:lang w:val="en-US" w:eastAsia="zh-CN" w:bidi="ar-SA"/>
        </w:rPr>
      </w:pPr>
      <w:r>
        <w:rPr>
          <w:rFonts w:hint="eastAsia" w:ascii="宋体" w:hAnsi="宋体"/>
          <w:color w:val="auto"/>
          <w:lang w:val="en-US" w:eastAsia="zh-CN"/>
        </w:rPr>
        <w:t>技术指标</w:t>
      </w:r>
    </w:p>
    <w:p>
      <w:pPr>
        <w:pStyle w:val="41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0" w:after="156" w:afterLines="0" w:line="240" w:lineRule="auto"/>
        <w:ind w:left="0" w:leftChars="0" w:right="0" w:rightChars="0" w:firstLine="420" w:firstLineChars="200"/>
        <w:jc w:val="left"/>
        <w:textAlignment w:val="auto"/>
        <w:outlineLvl w:val="2"/>
        <w:rPr>
          <w:rFonts w:hint="eastAsia" w:ascii="宋体" w:hAnsi="宋体" w:eastAsia="宋体" w:cs="Times New Roman"/>
          <w:color w:val="auto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sz w:val="21"/>
          <w:szCs w:val="21"/>
          <w:lang w:val="en-US" w:eastAsia="zh-CN" w:bidi="ar-SA"/>
        </w:rPr>
        <w:t>技术指标应符合表1的规定。</w:t>
      </w:r>
    </w:p>
    <w:p>
      <w:pPr>
        <w:pStyle w:val="41"/>
        <w:numPr>
          <w:ilvl w:val="1"/>
          <w:numId w:val="0"/>
        </w:numPr>
        <w:spacing w:before="156" w:after="156"/>
        <w:ind w:leftChars="0"/>
        <w:jc w:val="center"/>
        <w:rPr>
          <w:rFonts w:hint="eastAsia" w:ascii="黑体" w:hAnsi="黑体" w:eastAsia="黑体" w:cs="黑体"/>
          <w:color w:val="auto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color w:val="auto"/>
          <w:sz w:val="21"/>
          <w:szCs w:val="21"/>
          <w:lang w:eastAsia="zh-CN"/>
        </w:rPr>
        <w:t>表</w:t>
      </w:r>
      <w:r>
        <w:rPr>
          <w:rFonts w:hint="eastAsia" w:ascii="黑体" w:hAnsi="黑体" w:eastAsia="黑体" w:cs="黑体"/>
          <w:color w:val="auto"/>
          <w:sz w:val="21"/>
          <w:szCs w:val="21"/>
          <w:lang w:val="en-US" w:eastAsia="zh-CN"/>
        </w:rPr>
        <w:t>1 技术指标</w:t>
      </w:r>
    </w:p>
    <w:tbl>
      <w:tblPr>
        <w:tblStyle w:val="33"/>
        <w:tblW w:w="9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0"/>
        <w:gridCol w:w="4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4760" w:type="dxa"/>
            <w:vAlign w:val="center"/>
          </w:tcPr>
          <w:p>
            <w:pPr>
              <w:pStyle w:val="41"/>
              <w:keepNext w:val="0"/>
              <w:keepLines w:val="0"/>
              <w:pageBreakBefore w:val="0"/>
              <w:widowControl/>
              <w:numPr>
                <w:ilvl w:val="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  <w:t>项目</w:t>
            </w:r>
          </w:p>
        </w:tc>
        <w:tc>
          <w:tcPr>
            <w:tcW w:w="4760" w:type="dxa"/>
            <w:vAlign w:val="center"/>
          </w:tcPr>
          <w:p>
            <w:pPr>
              <w:pStyle w:val="41"/>
              <w:keepNext w:val="0"/>
              <w:keepLines w:val="0"/>
              <w:pageBreakBefore w:val="0"/>
              <w:widowControl/>
              <w:numPr>
                <w:ilvl w:val="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760" w:type="dxa"/>
            <w:vAlign w:val="center"/>
          </w:tcPr>
          <w:p>
            <w:pPr>
              <w:pStyle w:val="41"/>
              <w:keepNext w:val="0"/>
              <w:keepLines w:val="0"/>
              <w:pageBreakBefore w:val="0"/>
              <w:widowControl/>
              <w:numPr>
                <w:ilvl w:val="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right="0" w:rightChars="0" w:firstLine="0" w:firstLineChars="0"/>
              <w:jc w:val="both"/>
              <w:textAlignment w:val="auto"/>
              <w:outlineLvl w:val="2"/>
              <w:rPr>
                <w:rFonts w:hint="eastAsia" w:asciiTheme="minorEastAsia" w:hAnsiTheme="minorEastAsia" w:eastAsiaTheme="minor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vertAlign w:val="baseline"/>
                <w:lang w:eastAsia="zh-CN"/>
              </w:rPr>
              <w:t>异戊二醇含量</w:t>
            </w:r>
            <w:r>
              <w:rPr>
                <w:rFonts w:hint="eastAsia" w:asciiTheme="minorEastAsia" w:hAnsiTheme="minorEastAsia" w:eastAsiaTheme="minorEastAsia"/>
                <w:color w:val="auto"/>
                <w:vertAlign w:val="baseline"/>
                <w:lang w:val="en-US" w:eastAsia="zh-CN"/>
              </w:rPr>
              <w:t>/（GC，%）             ≥</w:t>
            </w:r>
          </w:p>
        </w:tc>
        <w:tc>
          <w:tcPr>
            <w:tcW w:w="4760" w:type="dxa"/>
            <w:vAlign w:val="center"/>
          </w:tcPr>
          <w:p>
            <w:pPr>
              <w:pStyle w:val="41"/>
              <w:keepNext w:val="0"/>
              <w:keepLines w:val="0"/>
              <w:pageBreakBefore w:val="0"/>
              <w:widowControl/>
              <w:numPr>
                <w:ilvl w:val="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right="0" w:rightChars="0" w:firstLine="0" w:firstLineChars="0"/>
              <w:jc w:val="center"/>
              <w:textAlignment w:val="auto"/>
              <w:outlineLvl w:val="2"/>
              <w:rPr>
                <w:rFonts w:hint="eastAsia" w:asciiTheme="minorEastAsia" w:hAnsiTheme="minorEastAsia" w:eastAsiaTheme="minor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vertAlign w:val="baseline"/>
                <w:lang w:val="en-US" w:eastAsia="zh-CN"/>
              </w:rPr>
              <w:t>99.0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760" w:type="dxa"/>
            <w:vAlign w:val="center"/>
          </w:tcPr>
          <w:p>
            <w:pPr>
              <w:pStyle w:val="41"/>
              <w:keepNext w:val="0"/>
              <w:keepLines w:val="0"/>
              <w:pageBreakBefore w:val="0"/>
              <w:widowControl/>
              <w:numPr>
                <w:ilvl w:val="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right="0" w:rightChars="0" w:firstLine="0" w:firstLineChars="0"/>
              <w:jc w:val="both"/>
              <w:textAlignment w:val="auto"/>
              <w:outlineLvl w:val="2"/>
              <w:rPr>
                <w:rFonts w:hint="eastAsia" w:asciiTheme="minorEastAsia" w:hAnsiTheme="minorEastAsia" w:eastAsiaTheme="minor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vertAlign w:val="baseline"/>
                <w:lang w:eastAsia="zh-CN"/>
              </w:rPr>
              <w:t>相对密度</w:t>
            </w:r>
            <w:r>
              <w:rPr>
                <w:rFonts w:hint="eastAsia" w:asciiTheme="minorEastAsia" w:hAnsiTheme="minorEastAsia" w:eastAsiaTheme="minorEastAsia"/>
                <w:color w:val="auto"/>
                <w:vertAlign w:val="baseline"/>
                <w:lang w:val="en-US" w:eastAsia="zh-CN"/>
              </w:rPr>
              <w:t>/（20℃/20℃）</w:t>
            </w:r>
          </w:p>
        </w:tc>
        <w:tc>
          <w:tcPr>
            <w:tcW w:w="4760" w:type="dxa"/>
            <w:vAlign w:val="center"/>
          </w:tcPr>
          <w:p>
            <w:pPr>
              <w:pStyle w:val="41"/>
              <w:keepNext w:val="0"/>
              <w:keepLines w:val="0"/>
              <w:pageBreakBefore w:val="0"/>
              <w:widowControl/>
              <w:numPr>
                <w:ilvl w:val="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right="0" w:rightChars="0" w:firstLine="0" w:firstLineChars="0"/>
              <w:jc w:val="center"/>
              <w:textAlignment w:val="auto"/>
              <w:outlineLvl w:val="2"/>
              <w:rPr>
                <w:rFonts w:hint="eastAsia" w:asciiTheme="minorEastAsia" w:hAnsiTheme="minorEastAsia" w:eastAsiaTheme="minor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vertAlign w:val="baseline"/>
                <w:lang w:val="en-US" w:eastAsia="zh-CN"/>
              </w:rPr>
              <w:t>0.974-0.982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760" w:type="dxa"/>
            <w:vAlign w:val="center"/>
          </w:tcPr>
          <w:p>
            <w:pPr>
              <w:pStyle w:val="41"/>
              <w:keepNext w:val="0"/>
              <w:keepLines w:val="0"/>
              <w:pageBreakBefore w:val="0"/>
              <w:widowControl/>
              <w:numPr>
                <w:ilvl w:val="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right="0" w:rightChars="0" w:firstLine="0" w:firstLineChars="0"/>
              <w:jc w:val="both"/>
              <w:textAlignment w:val="auto"/>
              <w:outlineLvl w:val="2"/>
              <w:rPr>
                <w:rFonts w:hint="eastAsia" w:asciiTheme="minorEastAsia" w:hAnsiTheme="minorEastAsia" w:eastAsiaTheme="minor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vertAlign w:val="baseline"/>
                <w:lang w:eastAsia="zh-CN"/>
              </w:rPr>
              <w:t>折光指数</w:t>
            </w:r>
            <w:r>
              <w:rPr>
                <w:rFonts w:hint="eastAsia" w:asciiTheme="minorEastAsia" w:hAnsiTheme="minorEastAsia" w:eastAsiaTheme="minorEastAsia"/>
                <w:color w:val="auto"/>
                <w:vertAlign w:val="baseline"/>
                <w:lang w:val="en-US" w:eastAsia="zh-CN"/>
              </w:rPr>
              <w:t>/（20℃）</w:t>
            </w:r>
          </w:p>
        </w:tc>
        <w:tc>
          <w:tcPr>
            <w:tcW w:w="4760" w:type="dxa"/>
            <w:vAlign w:val="center"/>
          </w:tcPr>
          <w:p>
            <w:pPr>
              <w:pStyle w:val="41"/>
              <w:keepNext w:val="0"/>
              <w:keepLines w:val="0"/>
              <w:pageBreakBefore w:val="0"/>
              <w:widowControl/>
              <w:numPr>
                <w:ilvl w:val="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right="0" w:rightChars="0" w:firstLine="0" w:firstLineChars="0"/>
              <w:jc w:val="center"/>
              <w:textAlignment w:val="auto"/>
              <w:outlineLvl w:val="2"/>
              <w:rPr>
                <w:rFonts w:hint="eastAsia" w:asciiTheme="minorEastAsia" w:hAnsiTheme="minorEastAsia" w:eastAsiaTheme="minor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vertAlign w:val="baseline"/>
                <w:lang w:val="en-US" w:eastAsia="zh-CN"/>
              </w:rPr>
              <w:t>1.440-1.446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760" w:type="dxa"/>
            <w:vAlign w:val="center"/>
          </w:tcPr>
          <w:p>
            <w:pPr>
              <w:pStyle w:val="41"/>
              <w:keepNext w:val="0"/>
              <w:keepLines w:val="0"/>
              <w:pageBreakBefore w:val="0"/>
              <w:widowControl/>
              <w:numPr>
                <w:ilvl w:val="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right="0" w:rightChars="0" w:firstLine="0" w:firstLineChars="0"/>
              <w:jc w:val="both"/>
              <w:textAlignment w:val="auto"/>
              <w:outlineLvl w:val="2"/>
              <w:rPr>
                <w:rFonts w:hint="eastAsia" w:asciiTheme="minorEastAsia" w:hAnsiTheme="minorEastAsia" w:eastAsiaTheme="minor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vertAlign w:val="baseline"/>
                <w:lang w:eastAsia="zh-CN"/>
              </w:rPr>
              <w:t>酸值</w:t>
            </w:r>
            <w:r>
              <w:rPr>
                <w:rFonts w:hint="eastAsia" w:asciiTheme="minorEastAsia" w:hAnsiTheme="minorEastAsia" w:eastAsiaTheme="minorEastAsia"/>
                <w:color w:val="auto"/>
                <w:vertAlign w:val="baseline"/>
                <w:lang w:val="en-US" w:eastAsia="zh-CN"/>
              </w:rPr>
              <w:t>/（mg KOH/g）                  ≤</w:t>
            </w:r>
          </w:p>
        </w:tc>
        <w:tc>
          <w:tcPr>
            <w:tcW w:w="4760" w:type="dxa"/>
            <w:vAlign w:val="center"/>
          </w:tcPr>
          <w:p>
            <w:pPr>
              <w:pStyle w:val="41"/>
              <w:keepNext w:val="0"/>
              <w:keepLines w:val="0"/>
              <w:pageBreakBefore w:val="0"/>
              <w:widowControl/>
              <w:numPr>
                <w:ilvl w:val="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right="0" w:rightChars="0" w:firstLine="0" w:firstLineChars="0"/>
              <w:jc w:val="center"/>
              <w:textAlignment w:val="auto"/>
              <w:outlineLvl w:val="2"/>
              <w:rPr>
                <w:rFonts w:hint="eastAsia" w:asciiTheme="minorEastAsia" w:hAnsiTheme="minorEastAsia" w:eastAsiaTheme="minor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vertAlign w:val="baseline"/>
                <w:lang w:val="en-US" w:eastAsia="zh-CN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760" w:type="dxa"/>
            <w:vAlign w:val="center"/>
          </w:tcPr>
          <w:p>
            <w:pPr>
              <w:pStyle w:val="41"/>
              <w:keepNext w:val="0"/>
              <w:keepLines w:val="0"/>
              <w:pageBreakBefore w:val="0"/>
              <w:widowControl/>
              <w:numPr>
                <w:ilvl w:val="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right="0" w:rightChars="0" w:firstLine="0" w:firstLineChars="0"/>
              <w:jc w:val="both"/>
              <w:textAlignment w:val="auto"/>
              <w:outlineLvl w:val="2"/>
              <w:rPr>
                <w:rFonts w:asciiTheme="minorEastAsia" w:hAnsiTheme="minorEastAsia" w:eastAsiaTheme="minorEastAsia"/>
                <w:color w:val="auto"/>
                <w:vertAlign w:val="baseline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vertAlign w:val="baseline"/>
                <w:lang w:eastAsia="zh-CN"/>
              </w:rPr>
              <w:t>水分</w:t>
            </w:r>
            <w:r>
              <w:rPr>
                <w:rFonts w:hint="eastAsia" w:asciiTheme="minorEastAsia" w:hAnsiTheme="minorEastAsia" w:eastAsiaTheme="minorEastAsia"/>
                <w:color w:val="auto"/>
                <w:vertAlign w:val="baseline"/>
                <w:lang w:val="en-US" w:eastAsia="zh-CN"/>
              </w:rPr>
              <w:t>/（%）                         ≤</w:t>
            </w:r>
          </w:p>
        </w:tc>
        <w:tc>
          <w:tcPr>
            <w:tcW w:w="4760" w:type="dxa"/>
            <w:vAlign w:val="center"/>
          </w:tcPr>
          <w:p>
            <w:pPr>
              <w:pStyle w:val="41"/>
              <w:keepNext w:val="0"/>
              <w:keepLines w:val="0"/>
              <w:pageBreakBefore w:val="0"/>
              <w:widowControl/>
              <w:numPr>
                <w:ilvl w:val="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right="0" w:rightChars="0" w:firstLine="0" w:firstLineChars="0"/>
              <w:jc w:val="center"/>
              <w:textAlignment w:val="auto"/>
              <w:outlineLvl w:val="2"/>
              <w:rPr>
                <w:rFonts w:hint="eastAsia" w:asciiTheme="minorEastAsia" w:hAnsiTheme="minorEastAsia" w:eastAsiaTheme="minor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vertAlign w:val="baseline"/>
                <w:lang w:val="en-US" w:eastAsia="zh-CN"/>
              </w:rPr>
              <w:t>1.6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760" w:type="dxa"/>
            <w:vAlign w:val="center"/>
          </w:tcPr>
          <w:p>
            <w:pPr>
              <w:pStyle w:val="41"/>
              <w:keepNext w:val="0"/>
              <w:keepLines w:val="0"/>
              <w:pageBreakBefore w:val="0"/>
              <w:widowControl/>
              <w:numPr>
                <w:ilvl w:val="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right="0" w:rightChars="0" w:firstLine="0" w:firstLineChars="0"/>
              <w:jc w:val="both"/>
              <w:textAlignment w:val="auto"/>
              <w:outlineLvl w:val="2"/>
              <w:rPr>
                <w:rFonts w:asciiTheme="minorEastAsia" w:hAnsiTheme="minorEastAsia" w:eastAsiaTheme="minorEastAsia"/>
                <w:color w:val="auto"/>
                <w:highlight w:val="none"/>
                <w:vertAlign w:val="baseline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highlight w:val="none"/>
                <w:vertAlign w:val="baseline"/>
                <w:lang w:eastAsia="zh-CN"/>
              </w:rPr>
              <w:t>汞</w:t>
            </w:r>
            <w:r>
              <w:rPr>
                <w:rFonts w:hint="eastAsia" w:asciiTheme="minorEastAsia" w:hAnsiTheme="minorEastAsia" w:eastAsiaTheme="minorEastAsia"/>
                <w:color w:val="auto"/>
                <w:highlight w:val="none"/>
                <w:vertAlign w:val="baseline"/>
                <w:lang w:val="en-US" w:eastAsia="zh-CN"/>
              </w:rPr>
              <w:t>/（mg/kg）                       ≤</w:t>
            </w:r>
          </w:p>
        </w:tc>
        <w:tc>
          <w:tcPr>
            <w:tcW w:w="4760" w:type="dxa"/>
            <w:vAlign w:val="center"/>
          </w:tcPr>
          <w:p>
            <w:pPr>
              <w:pStyle w:val="41"/>
              <w:keepNext w:val="0"/>
              <w:keepLines w:val="0"/>
              <w:pageBreakBefore w:val="0"/>
              <w:widowControl/>
              <w:numPr>
                <w:ilvl w:val="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right="0" w:rightChars="0" w:firstLine="0" w:firstLineChars="0"/>
              <w:jc w:val="center"/>
              <w:textAlignment w:val="auto"/>
              <w:outlineLvl w:val="2"/>
              <w:rPr>
                <w:rFonts w:hint="eastAsia" w:asciiTheme="minorEastAsia" w:hAnsiTheme="minorEastAsia" w:eastAsiaTheme="minor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7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right="0" w:rightChars="0" w:firstLine="0" w:firstLineChars="0"/>
              <w:jc w:val="both"/>
              <w:textAlignment w:val="auto"/>
              <w:outlineLvl w:val="2"/>
              <w:rPr>
                <w:rFonts w:asciiTheme="minorEastAsia" w:hAnsiTheme="minorEastAsia" w:eastAsiaTheme="minorEastAsia"/>
                <w:color w:val="auto"/>
                <w:highlight w:val="none"/>
                <w:vertAlign w:val="baseline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highlight w:val="none"/>
                <w:vertAlign w:val="baseline"/>
                <w:lang w:val="en-US" w:eastAsia="zh-CN"/>
              </w:rPr>
              <w:t>铅/（mg/kg）                       ≤</w:t>
            </w:r>
          </w:p>
        </w:tc>
        <w:tc>
          <w:tcPr>
            <w:tcW w:w="4760" w:type="dxa"/>
            <w:vAlign w:val="center"/>
          </w:tcPr>
          <w:p>
            <w:pPr>
              <w:pStyle w:val="41"/>
              <w:keepNext w:val="0"/>
              <w:keepLines w:val="0"/>
              <w:pageBreakBefore w:val="0"/>
              <w:widowControl/>
              <w:numPr>
                <w:ilvl w:val="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right="0" w:rightChars="0" w:firstLine="0" w:firstLineChars="0"/>
              <w:jc w:val="center"/>
              <w:textAlignment w:val="auto"/>
              <w:outlineLvl w:val="2"/>
              <w:rPr>
                <w:rFonts w:hint="eastAsia" w:asciiTheme="minorEastAsia" w:hAnsiTheme="minorEastAsia" w:eastAsiaTheme="minor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vertAlign w:val="baseli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7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right="0" w:rightChars="0" w:firstLine="0" w:firstLineChars="0"/>
              <w:jc w:val="both"/>
              <w:textAlignment w:val="auto"/>
              <w:outlineLvl w:val="2"/>
              <w:rPr>
                <w:rFonts w:hint="eastAsia" w:asciiTheme="minorEastAsia" w:hAnsiTheme="minorEastAsia" w:eastAsiaTheme="minorEastAsia"/>
                <w:color w:val="auto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highlight w:val="none"/>
                <w:vertAlign w:val="baseline"/>
                <w:lang w:val="en-US" w:eastAsia="zh-CN"/>
              </w:rPr>
              <w:t>砷/（mg/kg）                       ≤</w:t>
            </w:r>
          </w:p>
        </w:tc>
        <w:tc>
          <w:tcPr>
            <w:tcW w:w="4760" w:type="dxa"/>
            <w:vAlign w:val="center"/>
          </w:tcPr>
          <w:p>
            <w:pPr>
              <w:pStyle w:val="41"/>
              <w:keepNext w:val="0"/>
              <w:keepLines w:val="0"/>
              <w:pageBreakBefore w:val="0"/>
              <w:widowControl/>
              <w:numPr>
                <w:ilvl w:val="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right="0" w:rightChars="0" w:firstLine="0" w:firstLineChars="0"/>
              <w:jc w:val="center"/>
              <w:textAlignment w:val="auto"/>
              <w:outlineLvl w:val="2"/>
              <w:rPr>
                <w:rFonts w:hint="eastAsia" w:asciiTheme="minorEastAsia" w:hAnsiTheme="minorEastAsia" w:eastAsiaTheme="minor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7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right="0" w:rightChars="0" w:firstLine="0" w:firstLineChars="0"/>
              <w:jc w:val="both"/>
              <w:textAlignment w:val="auto"/>
              <w:outlineLvl w:val="2"/>
              <w:rPr>
                <w:rFonts w:hint="eastAsia" w:asciiTheme="minorEastAsia" w:hAnsiTheme="minorEastAsia" w:eastAsiaTheme="minorEastAsia"/>
                <w:color w:val="auto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highlight w:val="none"/>
                <w:vertAlign w:val="baseline"/>
                <w:lang w:val="en-US" w:eastAsia="zh-CN"/>
              </w:rPr>
              <w:t>镉/（mg/kg）</w:t>
            </w:r>
            <w:r>
              <w:rPr>
                <w:rFonts w:hint="eastAsia" w:asciiTheme="minorEastAsia" w:hAnsiTheme="minorEastAsia" w:eastAsiaTheme="minorEastAsia"/>
                <w:color w:val="auto"/>
                <w:highlight w:val="none"/>
                <w:vertAlign w:val="baseline"/>
                <w:lang w:val="en-US" w:eastAsia="zh-CN"/>
              </w:rPr>
              <w:t xml:space="preserve">                       ≤</w:t>
            </w:r>
          </w:p>
        </w:tc>
        <w:tc>
          <w:tcPr>
            <w:tcW w:w="4760" w:type="dxa"/>
            <w:vAlign w:val="center"/>
          </w:tcPr>
          <w:p>
            <w:pPr>
              <w:pStyle w:val="41"/>
              <w:keepNext w:val="0"/>
              <w:keepLines w:val="0"/>
              <w:pageBreakBefore w:val="0"/>
              <w:widowControl/>
              <w:numPr>
                <w:ilvl w:val="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right="0" w:rightChars="0" w:firstLine="0" w:firstLineChars="0"/>
              <w:jc w:val="center"/>
              <w:textAlignment w:val="auto"/>
              <w:outlineLvl w:val="2"/>
              <w:rPr>
                <w:rFonts w:hint="eastAsia" w:asciiTheme="minorEastAsia" w:hAnsiTheme="minorEastAsia" w:eastAsiaTheme="minor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47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right="0" w:rightChars="0" w:firstLine="0" w:firstLineChars="0"/>
              <w:jc w:val="both"/>
              <w:textAlignment w:val="auto"/>
              <w:outlineLvl w:val="2"/>
              <w:rPr>
                <w:rFonts w:hint="eastAsia" w:asciiTheme="minorEastAsia" w:hAnsiTheme="minorEastAsia" w:eastAsiaTheme="minor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vertAlign w:val="baseline"/>
                <w:lang w:val="en-US" w:eastAsia="zh-CN"/>
              </w:rPr>
              <w:t>灼烧残渣/（%）                     ＜</w:t>
            </w:r>
          </w:p>
        </w:tc>
        <w:tc>
          <w:tcPr>
            <w:tcW w:w="4760" w:type="dxa"/>
            <w:vAlign w:val="center"/>
          </w:tcPr>
          <w:p>
            <w:pPr>
              <w:pStyle w:val="41"/>
              <w:keepNext w:val="0"/>
              <w:keepLines w:val="0"/>
              <w:pageBreakBefore w:val="0"/>
              <w:widowControl/>
              <w:numPr>
                <w:ilvl w:val="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right="0" w:rightChars="0" w:firstLine="0" w:firstLineChars="0"/>
              <w:jc w:val="center"/>
              <w:textAlignment w:val="auto"/>
              <w:outlineLvl w:val="2"/>
              <w:rPr>
                <w:rFonts w:hint="eastAsia" w:asciiTheme="minorEastAsia" w:hAnsiTheme="minorEastAsia" w:eastAsiaTheme="minor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vertAlign w:val="baseline"/>
                <w:lang w:val="en-US" w:eastAsia="zh-CN"/>
              </w:rPr>
              <w:t>0.05</w:t>
            </w:r>
          </w:p>
        </w:tc>
      </w:tr>
    </w:tbl>
    <w:p>
      <w:pPr>
        <w:pStyle w:val="44"/>
        <w:spacing w:before="312" w:after="312"/>
        <w:rPr>
          <w:bCs/>
          <w:color w:val="auto"/>
          <w:szCs w:val="21"/>
          <w:highlight w:val="none"/>
        </w:rPr>
      </w:pPr>
      <w:r>
        <w:rPr>
          <w:rFonts w:hint="eastAsia"/>
          <w:bCs/>
          <w:color w:val="auto"/>
          <w:szCs w:val="21"/>
          <w:highlight w:val="none"/>
        </w:rPr>
        <w:t>试验方法</w:t>
      </w:r>
    </w:p>
    <w:p>
      <w:pPr>
        <w:pStyle w:val="41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0" w:after="156" w:afterLines="0" w:line="240" w:lineRule="auto"/>
        <w:ind w:left="0" w:leftChars="0" w:right="0" w:rightChars="0" w:firstLine="420" w:firstLineChars="200"/>
        <w:jc w:val="left"/>
        <w:textAlignment w:val="auto"/>
        <w:outlineLvl w:val="2"/>
        <w:rPr>
          <w:rFonts w:hint="eastAsia" w:ascii="宋体" w:hAnsi="宋体" w:eastAsia="宋体" w:cs="Times New Roman"/>
          <w:color w:val="auto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sz w:val="21"/>
          <w:szCs w:val="21"/>
          <w:lang w:val="en-US" w:eastAsia="zh-CN" w:bidi="ar-SA"/>
        </w:rPr>
        <w:t>本标准所用试剂和水，除非另有规定，应使用分析纯试剂和和GB/T 6682-2008规定的三级水。</w:t>
      </w:r>
    </w:p>
    <w:p>
      <w:pPr>
        <w:pStyle w:val="41"/>
        <w:spacing w:before="156" w:after="156"/>
        <w:rPr>
          <w:color w:val="auto"/>
        </w:rPr>
      </w:pPr>
      <w:r>
        <w:rPr>
          <w:rFonts w:hint="eastAsia"/>
          <w:color w:val="auto"/>
        </w:rPr>
        <w:t>色状的测定</w:t>
      </w:r>
    </w:p>
    <w:p>
      <w:pPr>
        <w:pStyle w:val="24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将</w:t>
      </w:r>
      <w:r>
        <w:rPr>
          <w:rFonts w:hint="eastAsia"/>
          <w:color w:val="auto"/>
          <w:highlight w:val="none"/>
        </w:rPr>
        <w:t>试样置于比色管内，</w:t>
      </w:r>
      <w:r>
        <w:rPr>
          <w:rFonts w:hint="eastAsia"/>
          <w:color w:val="auto"/>
          <w:highlight w:val="none"/>
          <w:lang w:val="en-US" w:eastAsia="zh-CN"/>
        </w:rPr>
        <w:t>以白色为背景在室温和非直射阳关条件下</w:t>
      </w:r>
      <w:r>
        <w:rPr>
          <w:rFonts w:hint="eastAsia"/>
          <w:color w:val="auto"/>
          <w:highlight w:val="none"/>
        </w:rPr>
        <w:t>目测。</w:t>
      </w:r>
    </w:p>
    <w:p>
      <w:pPr>
        <w:pStyle w:val="24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香气测定按GB/T 14454.2测定。</w:t>
      </w:r>
    </w:p>
    <w:p>
      <w:pPr>
        <w:pStyle w:val="41"/>
        <w:spacing w:before="156" w:after="156"/>
        <w:rPr>
          <w:rFonts w:ascii="宋体" w:hAnsi="宋体"/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异戊二醇</w:t>
      </w:r>
      <w:r>
        <w:rPr>
          <w:rFonts w:hint="eastAsia"/>
          <w:color w:val="auto"/>
          <w:highlight w:val="none"/>
        </w:rPr>
        <w:t>含量</w:t>
      </w:r>
      <w:r>
        <w:rPr>
          <w:rFonts w:hint="eastAsia"/>
          <w:color w:val="auto"/>
          <w:highlight w:val="none"/>
          <w:lang w:val="en-US" w:eastAsia="zh-CN"/>
        </w:rPr>
        <w:t>的测定</w:t>
      </w:r>
    </w:p>
    <w:p>
      <w:pPr>
        <w:pStyle w:val="45"/>
        <w:spacing w:before="156" w:after="156"/>
        <w:rPr>
          <w:color w:val="auto"/>
        </w:rPr>
      </w:pPr>
      <w:r>
        <w:rPr>
          <w:rFonts w:hint="eastAsia"/>
          <w:color w:val="auto"/>
        </w:rPr>
        <w:t>仪器</w:t>
      </w:r>
    </w:p>
    <w:p>
      <w:pPr>
        <w:pStyle w:val="24"/>
        <w:rPr>
          <w:rFonts w:hAnsi="宋体"/>
          <w:color w:val="auto"/>
        </w:rPr>
      </w:pPr>
      <w:r>
        <w:rPr>
          <w:rFonts w:hint="eastAsia" w:hAnsi="宋体"/>
          <w:color w:val="auto"/>
        </w:rPr>
        <w:t xml:space="preserve">a）气相色谱仪：按 GB/T </w:t>
      </w:r>
      <w:r>
        <w:rPr>
          <w:rFonts w:hint="eastAsia" w:hAnsi="宋体"/>
          <w:color w:val="auto"/>
          <w:lang w:val="en-US" w:eastAsia="zh-CN"/>
        </w:rPr>
        <w:t>9722</w:t>
      </w:r>
      <w:r>
        <w:rPr>
          <w:rFonts w:hint="eastAsia" w:hAnsi="宋体"/>
          <w:color w:val="auto"/>
        </w:rPr>
        <w:t>-2006 中第</w:t>
      </w:r>
      <w:r>
        <w:rPr>
          <w:rFonts w:hint="eastAsia" w:hAnsi="宋体"/>
          <w:color w:val="auto"/>
          <w:lang w:val="en-US" w:eastAsia="zh-CN"/>
        </w:rPr>
        <w:t>6</w:t>
      </w:r>
      <w:r>
        <w:rPr>
          <w:rFonts w:hint="eastAsia" w:hAnsi="宋体"/>
          <w:color w:val="auto"/>
        </w:rPr>
        <w:t>章的规定；</w:t>
      </w:r>
    </w:p>
    <w:p>
      <w:pPr>
        <w:pStyle w:val="24"/>
        <w:rPr>
          <w:rFonts w:hAnsi="宋体"/>
          <w:color w:val="auto"/>
        </w:rPr>
      </w:pPr>
      <w:r>
        <w:rPr>
          <w:rFonts w:hint="eastAsia" w:hAnsi="宋体"/>
          <w:color w:val="auto"/>
        </w:rPr>
        <w:t>b）柱：毛细管柱；</w:t>
      </w:r>
    </w:p>
    <w:p>
      <w:pPr>
        <w:pStyle w:val="24"/>
        <w:rPr>
          <w:rFonts w:hAnsi="宋体"/>
          <w:color w:val="auto"/>
        </w:rPr>
      </w:pPr>
      <w:r>
        <w:rPr>
          <w:rFonts w:hint="eastAsia" w:hAnsi="宋体"/>
          <w:color w:val="auto"/>
        </w:rPr>
        <w:t>c）检测器：氢火焰离子化检测器。</w:t>
      </w:r>
    </w:p>
    <w:p>
      <w:pPr>
        <w:pStyle w:val="45"/>
        <w:spacing w:before="156" w:after="156"/>
        <w:rPr>
          <w:color w:val="auto"/>
        </w:rPr>
      </w:pPr>
      <w:r>
        <w:rPr>
          <w:rFonts w:hint="eastAsia"/>
          <w:color w:val="auto"/>
        </w:rPr>
        <w:t>测定方法</w:t>
      </w:r>
    </w:p>
    <w:p>
      <w:pPr>
        <w:pStyle w:val="24"/>
        <w:rPr>
          <w:rFonts w:hAnsi="宋体"/>
          <w:color w:val="auto"/>
        </w:rPr>
      </w:pPr>
      <w:r>
        <w:rPr>
          <w:rFonts w:hint="eastAsia" w:hAnsi="宋体"/>
          <w:color w:val="auto"/>
        </w:rPr>
        <w:t xml:space="preserve">按 GB/T </w:t>
      </w:r>
      <w:r>
        <w:rPr>
          <w:rFonts w:hint="eastAsia" w:hAnsi="宋体"/>
          <w:color w:val="auto"/>
          <w:lang w:val="en-US" w:eastAsia="zh-CN"/>
        </w:rPr>
        <w:t>9722</w:t>
      </w:r>
      <w:r>
        <w:rPr>
          <w:rFonts w:hint="eastAsia" w:hAnsi="宋体"/>
          <w:color w:val="auto"/>
        </w:rPr>
        <w:t xml:space="preserve">-2006 中 </w:t>
      </w:r>
      <w:r>
        <w:rPr>
          <w:rFonts w:hint="eastAsia" w:hAnsi="宋体"/>
          <w:color w:val="auto"/>
          <w:lang w:val="en-US" w:eastAsia="zh-CN"/>
        </w:rPr>
        <w:t>9.2</w:t>
      </w:r>
      <w:r>
        <w:rPr>
          <w:rFonts w:hint="eastAsia" w:hAnsi="宋体"/>
          <w:color w:val="auto"/>
        </w:rPr>
        <w:t xml:space="preserve"> 规定的归一法测定。</w:t>
      </w:r>
    </w:p>
    <w:p>
      <w:pPr>
        <w:pStyle w:val="45"/>
        <w:spacing w:before="156" w:after="156"/>
        <w:rPr>
          <w:color w:val="auto"/>
        </w:rPr>
      </w:pPr>
      <w:r>
        <w:rPr>
          <w:rFonts w:hint="eastAsia"/>
          <w:color w:val="auto"/>
        </w:rPr>
        <w:t>结果表示</w:t>
      </w:r>
    </w:p>
    <w:p>
      <w:pPr>
        <w:pStyle w:val="24"/>
        <w:keepNext w:val="0"/>
        <w:keepLines w:val="0"/>
        <w:pageBreakBefore w:val="0"/>
        <w:widowControl/>
        <w:tabs>
          <w:tab w:val="center" w:leader="dot" w:pos="420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6" w:after="156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auto"/>
          <w:highlight w:val="yellow"/>
          <w:lang w:val="en-US" w:eastAsia="zh-CN"/>
        </w:rPr>
      </w:pPr>
      <w:r>
        <w:rPr>
          <w:rFonts w:hint="eastAsia" w:hAnsi="宋体"/>
          <w:color w:val="auto"/>
          <w:highlight w:val="none"/>
          <w:shd w:val="clear"/>
          <w:lang w:eastAsia="zh-CN"/>
        </w:rPr>
        <w:t>异戊二醇</w:t>
      </w:r>
      <w:r>
        <w:rPr>
          <w:rFonts w:hint="eastAsia" w:hAnsi="宋体"/>
          <w:color w:val="auto"/>
          <w:highlight w:val="none"/>
          <w:shd w:val="clear"/>
        </w:rPr>
        <w:t>典型气相色谱图（归一法）参见附录A</w:t>
      </w:r>
      <w:r>
        <w:rPr>
          <w:rFonts w:hint="eastAsia" w:hAnsi="宋体"/>
          <w:color w:val="auto"/>
          <w:highlight w:val="none"/>
          <w:shd w:val="clear"/>
          <w:lang w:eastAsia="zh-CN"/>
        </w:rPr>
        <w:t>，</w:t>
      </w:r>
      <w:r>
        <w:rPr>
          <w:rFonts w:hint="eastAsia" w:hAnsi="宋体"/>
          <w:color w:val="auto"/>
          <w:highlight w:val="none"/>
          <w:shd w:val="clear"/>
          <w:lang w:val="en-US" w:eastAsia="zh-CN"/>
        </w:rPr>
        <w:t>结果按</w:t>
      </w:r>
      <w:r>
        <w:rPr>
          <w:rFonts w:hint="eastAsia" w:hAnsi="宋体"/>
          <w:color w:val="auto"/>
          <w:highlight w:val="none"/>
          <w:shd w:val="clear"/>
        </w:rPr>
        <w:t>G</w:t>
      </w:r>
      <w:r>
        <w:rPr>
          <w:rFonts w:hint="eastAsia" w:hAnsi="宋体"/>
          <w:color w:val="auto"/>
          <w:highlight w:val="none"/>
        </w:rPr>
        <w:t xml:space="preserve">B/T </w:t>
      </w:r>
      <w:r>
        <w:rPr>
          <w:rFonts w:hint="eastAsia" w:hAnsi="宋体"/>
          <w:color w:val="auto"/>
          <w:highlight w:val="none"/>
          <w:lang w:val="en-US" w:eastAsia="zh-CN"/>
        </w:rPr>
        <w:t>9722</w:t>
      </w:r>
      <w:r>
        <w:rPr>
          <w:rFonts w:hint="eastAsia" w:hAnsi="宋体"/>
          <w:color w:val="auto"/>
          <w:highlight w:val="none"/>
        </w:rPr>
        <w:t xml:space="preserve">-2006 中 </w:t>
      </w:r>
      <w:r>
        <w:rPr>
          <w:rFonts w:hint="eastAsia" w:hAnsi="宋体"/>
          <w:color w:val="auto"/>
          <w:highlight w:val="none"/>
          <w:lang w:val="en-US" w:eastAsia="zh-CN"/>
        </w:rPr>
        <w:t>9.2</w:t>
      </w:r>
      <w:r>
        <w:rPr>
          <w:rFonts w:hint="eastAsia" w:hAnsi="宋体"/>
          <w:color w:val="auto"/>
          <w:highlight w:val="none"/>
        </w:rPr>
        <w:t xml:space="preserve"> 规定的归一法</w:t>
      </w:r>
      <w:r>
        <w:rPr>
          <w:rFonts w:hint="eastAsia" w:hAnsi="宋体"/>
          <w:color w:val="auto"/>
          <w:highlight w:val="none"/>
          <w:lang w:val="en-US" w:eastAsia="zh-CN"/>
        </w:rPr>
        <w:t>测定组分的质量分数公式进行计算</w:t>
      </w:r>
      <w:r>
        <w:rPr>
          <w:rFonts w:hint="eastAsia" w:hAnsi="宋体"/>
          <w:color w:val="auto"/>
          <w:highlight w:val="none"/>
        </w:rPr>
        <w:t>。</w:t>
      </w:r>
    </w:p>
    <w:p>
      <w:pPr>
        <w:pStyle w:val="41"/>
        <w:spacing w:before="156" w:after="156"/>
        <w:rPr>
          <w:rFonts w:ascii="宋体" w:hAnsi="宋体" w:eastAsia="宋体"/>
          <w:color w:val="auto"/>
        </w:rPr>
      </w:pPr>
      <w:r>
        <w:rPr>
          <w:rFonts w:hint="eastAsia" w:ascii="宋体" w:hAnsi="宋体"/>
          <w:color w:val="auto"/>
        </w:rPr>
        <w:t>相对密度的测定</w:t>
      </w:r>
    </w:p>
    <w:p>
      <w:pPr>
        <w:pStyle w:val="41"/>
        <w:numPr>
          <w:ilvl w:val="0"/>
          <w:numId w:val="0"/>
        </w:numPr>
        <w:spacing w:before="156" w:after="156"/>
        <w:ind w:firstLine="420" w:firstLineChars="200"/>
        <w:rPr>
          <w:rFonts w:hint="eastAsia" w:ascii="宋体" w:hAnsi="宋体" w:eastAsia="宋体"/>
          <w:color w:val="auto"/>
          <w:lang w:val="en-US" w:eastAsia="zh-CN"/>
        </w:rPr>
      </w:pPr>
      <w:r>
        <w:rPr>
          <w:rFonts w:hint="eastAsia" w:ascii="宋体" w:hAnsi="宋体" w:eastAsia="宋体"/>
          <w:color w:val="auto"/>
          <w:lang w:val="en-US" w:eastAsia="zh-CN"/>
        </w:rPr>
        <w:t>按 GB/T 13531.4的规定测定。</w:t>
      </w:r>
    </w:p>
    <w:p>
      <w:pPr>
        <w:pStyle w:val="24"/>
        <w:rPr>
          <w:rFonts w:hint="eastAsia"/>
          <w:lang w:val="en-US" w:eastAsia="zh-CN"/>
        </w:rPr>
      </w:pPr>
    </w:p>
    <w:p>
      <w:pPr>
        <w:pStyle w:val="41"/>
        <w:spacing w:before="156" w:after="156"/>
        <w:rPr>
          <w:rFonts w:ascii="宋体" w:hAnsi="宋体" w:eastAsia="宋体"/>
          <w:color w:val="auto"/>
        </w:rPr>
      </w:pPr>
      <w:r>
        <w:rPr>
          <w:rFonts w:hint="eastAsia" w:ascii="宋体" w:hAnsi="宋体"/>
          <w:color w:val="auto"/>
        </w:rPr>
        <w:t>折光指数的测定</w:t>
      </w:r>
    </w:p>
    <w:p>
      <w:pPr>
        <w:pStyle w:val="41"/>
        <w:numPr>
          <w:ilvl w:val="0"/>
          <w:numId w:val="0"/>
        </w:numPr>
        <w:spacing w:before="156" w:after="156"/>
        <w:ind w:firstLine="420" w:firstLineChars="200"/>
        <w:rPr>
          <w:rFonts w:hint="eastAsia" w:ascii="宋体" w:hAnsi="宋体" w:eastAsia="宋体"/>
          <w:color w:val="auto"/>
          <w:lang w:val="en-US" w:eastAsia="zh-CN"/>
        </w:rPr>
      </w:pPr>
      <w:r>
        <w:rPr>
          <w:rFonts w:hint="eastAsia" w:ascii="宋体" w:hAnsi="宋体" w:eastAsia="宋体"/>
          <w:color w:val="auto"/>
          <w:lang w:val="en-US" w:eastAsia="zh-CN"/>
        </w:rPr>
        <w:t>按GB/T 13531.7的规定测定。</w:t>
      </w:r>
    </w:p>
    <w:p>
      <w:pPr>
        <w:pStyle w:val="41"/>
        <w:spacing w:before="156" w:after="156"/>
        <w:rPr>
          <w:rFonts w:ascii="宋体" w:hAnsi="宋体" w:eastAsia="宋体"/>
          <w:color w:val="auto"/>
        </w:rPr>
      </w:pPr>
      <w:r>
        <w:rPr>
          <w:rFonts w:hint="eastAsia" w:ascii="宋体" w:hAnsi="宋体"/>
          <w:color w:val="auto"/>
          <w:lang w:eastAsia="zh-CN"/>
        </w:rPr>
        <w:t>酸值</w:t>
      </w:r>
      <w:r>
        <w:rPr>
          <w:rFonts w:hint="eastAsia" w:ascii="宋体" w:hAnsi="宋体"/>
          <w:color w:val="auto"/>
        </w:rPr>
        <w:t>的测</w:t>
      </w:r>
      <w:r>
        <w:rPr>
          <w:rFonts w:hint="eastAsia" w:ascii="宋体" w:hAnsi="宋体"/>
          <w:color w:val="auto"/>
          <w:lang w:eastAsia="zh-CN"/>
        </w:rPr>
        <w:t>定</w:t>
      </w:r>
    </w:p>
    <w:p>
      <w:pPr>
        <w:pStyle w:val="45"/>
        <w:spacing w:before="156" w:after="156"/>
        <w:rPr>
          <w:rFonts w:hint="eastAsia"/>
          <w:color w:val="auto"/>
        </w:rPr>
      </w:pPr>
      <w:r>
        <w:rPr>
          <w:rFonts w:hint="eastAsia"/>
          <w:color w:val="auto"/>
        </w:rPr>
        <w:t>仪器设备</w:t>
      </w:r>
    </w:p>
    <w:p>
      <w:pPr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5.5.1</w:t>
      </w:r>
      <w:r>
        <w:rPr>
          <w:rFonts w:hint="eastAsia" w:ascii="宋体" w:hAnsi="宋体" w:eastAsia="宋体" w:cs="宋体"/>
          <w:color w:val="auto"/>
        </w:rPr>
        <w:t>.1  一般实验室仪器</w:t>
      </w:r>
      <w:r>
        <w:rPr>
          <w:rFonts w:hint="eastAsia" w:ascii="宋体" w:hAnsi="宋体" w:cs="宋体"/>
          <w:color w:val="auto"/>
          <w:lang w:eastAsia="zh-CN"/>
        </w:rPr>
        <w:t>；</w:t>
      </w:r>
    </w:p>
    <w:p>
      <w:pPr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5.5.1</w:t>
      </w:r>
      <w:r>
        <w:rPr>
          <w:rFonts w:hint="eastAsia" w:ascii="宋体" w:hAnsi="宋体" w:eastAsia="宋体" w:cs="宋体"/>
          <w:color w:val="auto"/>
        </w:rPr>
        <w:t>.</w:t>
      </w:r>
      <w:r>
        <w:rPr>
          <w:rFonts w:hint="eastAsia" w:ascii="宋体" w:hAnsi="宋体" w:eastAsia="宋体" w:cs="宋体"/>
          <w:color w:val="auto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</w:rPr>
        <w:t xml:space="preserve">  量筒：</w:t>
      </w:r>
      <w:r>
        <w:rPr>
          <w:rFonts w:hint="eastAsia" w:ascii="宋体" w:hAnsi="宋体" w:cs="宋体"/>
          <w:color w:val="auto"/>
          <w:lang w:val="en-US" w:eastAsia="zh-CN"/>
        </w:rPr>
        <w:t>50</w:t>
      </w:r>
      <w:r>
        <w:rPr>
          <w:rFonts w:hint="eastAsia" w:ascii="宋体" w:hAnsi="宋体" w:eastAsia="宋体" w:cs="宋体"/>
          <w:color w:val="auto"/>
        </w:rPr>
        <w:t xml:space="preserve"> mL</w:t>
      </w:r>
      <w:r>
        <w:rPr>
          <w:rFonts w:hint="eastAsia" w:ascii="宋体" w:hAnsi="宋体" w:cs="宋体"/>
          <w:color w:val="auto"/>
          <w:lang w:eastAsia="zh-CN"/>
        </w:rPr>
        <w:t>；</w:t>
      </w:r>
    </w:p>
    <w:p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5.5.1</w:t>
      </w:r>
      <w:r>
        <w:rPr>
          <w:rFonts w:hint="eastAsia" w:ascii="宋体" w:hAnsi="宋体" w:eastAsia="宋体" w:cs="宋体"/>
          <w:color w:val="auto"/>
        </w:rPr>
        <w:t>.</w:t>
      </w:r>
      <w:r>
        <w:rPr>
          <w:rFonts w:hint="eastAsia" w:ascii="宋体" w:hAnsi="宋体" w:eastAsia="宋体" w:cs="宋体"/>
          <w:color w:val="auto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</w:rPr>
        <w:t xml:space="preserve">  微量滴定管：</w:t>
      </w:r>
      <w:r>
        <w:rPr>
          <w:rFonts w:hint="eastAsia" w:ascii="宋体" w:hAnsi="宋体" w:cs="宋体"/>
          <w:color w:val="auto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</w:rPr>
        <w:t>mL (分度值0.0</w:t>
      </w:r>
      <w:r>
        <w:rPr>
          <w:rFonts w:hint="eastAsia" w:ascii="宋体" w:hAnsi="宋体" w:cs="宋体"/>
          <w:color w:val="auto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</w:rPr>
        <w:t>mL)；</w:t>
      </w:r>
    </w:p>
    <w:p>
      <w:pPr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 xml:space="preserve">5.5.1.4 </w:t>
      </w:r>
      <w:r>
        <w:rPr>
          <w:rFonts w:hint="eastAsia" w:ascii="宋体" w:hAnsi="宋体" w:cs="宋体"/>
          <w:color w:va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lang w:val="en-US" w:eastAsia="zh-CN"/>
        </w:rPr>
        <w:t>移液管：10ml</w:t>
      </w:r>
      <w:r>
        <w:rPr>
          <w:rFonts w:hint="eastAsia" w:ascii="宋体" w:hAnsi="宋体" w:cs="宋体"/>
          <w:color w:val="auto"/>
          <w:lang w:val="en-US" w:eastAsia="zh-CN"/>
        </w:rPr>
        <w:t>。</w:t>
      </w:r>
    </w:p>
    <w:p>
      <w:pPr>
        <w:pStyle w:val="45"/>
        <w:numPr>
          <w:ilvl w:val="2"/>
          <w:numId w:val="0"/>
        </w:numPr>
        <w:spacing w:before="156" w:after="156"/>
        <w:ind w:leftChars="0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5.5.2</w:t>
      </w:r>
      <w:r>
        <w:rPr>
          <w:rFonts w:hint="eastAsia"/>
          <w:color w:val="auto"/>
        </w:rPr>
        <w:t xml:space="preserve">  试剂和材料</w:t>
      </w:r>
    </w:p>
    <w:p>
      <w:pPr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cs="宋体"/>
          <w:color w:val="auto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</w:rPr>
        <w:t>.</w:t>
      </w:r>
      <w:r>
        <w:rPr>
          <w:rFonts w:hint="eastAsia" w:ascii="宋体" w:hAnsi="宋体" w:cs="宋体"/>
          <w:color w:val="auto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</w:rPr>
        <w:t>.</w:t>
      </w:r>
      <w:r>
        <w:rPr>
          <w:rFonts w:hint="eastAsia" w:ascii="宋体" w:hAnsi="宋体" w:cs="宋体"/>
          <w:color w:val="auto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</w:rPr>
        <w:t xml:space="preserve">.1  </w:t>
      </w:r>
      <w:r>
        <w:rPr>
          <w:rFonts w:hint="eastAsia" w:ascii="宋体" w:hAnsi="宋体" w:eastAsia="宋体" w:cs="宋体"/>
          <w:color w:val="auto"/>
          <w:lang w:eastAsia="zh-CN"/>
        </w:rPr>
        <w:t>无水</w:t>
      </w:r>
      <w:r>
        <w:rPr>
          <w:rFonts w:hint="eastAsia" w:ascii="宋体" w:hAnsi="宋体" w:eastAsia="宋体" w:cs="宋体"/>
          <w:color w:val="auto"/>
        </w:rPr>
        <w:t>乙醇</w:t>
      </w:r>
      <w:r>
        <w:rPr>
          <w:rFonts w:hint="eastAsia" w:ascii="宋体" w:hAnsi="宋体" w:eastAsia="宋体" w:cs="宋体"/>
          <w:color w:val="auto"/>
          <w:lang w:eastAsia="zh-CN"/>
        </w:rPr>
        <w:t>：分析纯</w:t>
      </w:r>
      <w:r>
        <w:rPr>
          <w:rFonts w:hint="eastAsia" w:ascii="宋体" w:hAnsi="宋体" w:cs="宋体"/>
          <w:color w:val="auto"/>
          <w:lang w:eastAsia="zh-CN"/>
        </w:rPr>
        <w:t>；</w:t>
      </w:r>
    </w:p>
    <w:p>
      <w:pPr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cs="宋体"/>
          <w:color w:val="auto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</w:rPr>
        <w:t>.</w:t>
      </w:r>
      <w:r>
        <w:rPr>
          <w:rFonts w:hint="eastAsia" w:ascii="宋体" w:hAnsi="宋体" w:cs="宋体"/>
          <w:color w:val="auto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</w:rPr>
        <w:t>.</w:t>
      </w:r>
      <w:r>
        <w:rPr>
          <w:rFonts w:hint="eastAsia" w:ascii="宋体" w:hAnsi="宋体" w:cs="宋体"/>
          <w:color w:val="auto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</w:rPr>
        <w:t>.2  10 g/L酚酞指示剂</w:t>
      </w:r>
      <w:r>
        <w:rPr>
          <w:rFonts w:hint="eastAsia" w:ascii="宋体" w:hAnsi="宋体" w:cs="宋体"/>
          <w:color w:val="auto"/>
          <w:lang w:eastAsia="zh-CN"/>
        </w:rPr>
        <w:t>；</w:t>
      </w:r>
    </w:p>
    <w:p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cs="宋体"/>
          <w:color w:val="auto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</w:rPr>
        <w:t>.</w:t>
      </w:r>
      <w:r>
        <w:rPr>
          <w:rFonts w:hint="eastAsia" w:ascii="宋体" w:hAnsi="宋体" w:cs="宋体"/>
          <w:color w:val="auto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</w:rPr>
        <w:t>.</w:t>
      </w:r>
      <w:r>
        <w:rPr>
          <w:rFonts w:hint="eastAsia" w:ascii="宋体" w:hAnsi="宋体" w:cs="宋体"/>
          <w:color w:val="auto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</w:rPr>
        <w:t xml:space="preserve">.3  </w:t>
      </w:r>
      <w:r>
        <w:rPr>
          <w:rFonts w:hint="eastAsia" w:ascii="宋体" w:hAnsi="宋体" w:cs="宋体"/>
          <w:color w:val="auto"/>
          <w:lang w:val="en-US" w:eastAsia="zh-CN"/>
        </w:rPr>
        <w:t>0.</w:t>
      </w:r>
      <w:r>
        <w:rPr>
          <w:rFonts w:hint="eastAsia" w:ascii="宋体" w:hAnsi="宋体" w:eastAsia="宋体" w:cs="宋体"/>
          <w:color w:val="auto"/>
        </w:rPr>
        <w:t>1mol/L氢氧化钠标准滴定溶液。</w:t>
      </w:r>
    </w:p>
    <w:p>
      <w:pPr>
        <w:pStyle w:val="45"/>
        <w:numPr>
          <w:ilvl w:val="2"/>
          <w:numId w:val="0"/>
        </w:numPr>
        <w:spacing w:before="156" w:after="156"/>
        <w:ind w:left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5.5.3  试验步骤</w:t>
      </w:r>
    </w:p>
    <w:p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cs="宋体"/>
          <w:color w:va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</w:rPr>
        <w:t>量取20mL乙醇注入1</w:t>
      </w:r>
      <w:r>
        <w:rPr>
          <w:rFonts w:hint="eastAsia" w:ascii="宋体" w:hAnsi="宋体" w:eastAsia="宋体" w:cs="宋体"/>
          <w:color w:val="auto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</w:rPr>
        <w:t>0mL锥形瓶中，加酚酞指示剂2滴，用氢氧化钠标准溶液滴定至粉红色为终点。称取</w:t>
      </w:r>
      <w:r>
        <w:rPr>
          <w:rFonts w:hint="eastAsia" w:ascii="宋体" w:hAnsi="宋体" w:eastAsia="宋体" w:cs="宋体"/>
          <w:color w:val="auto"/>
          <w:lang w:val="en-US" w:eastAsia="zh-CN"/>
        </w:rPr>
        <w:t>10ml</w:t>
      </w:r>
      <w:r>
        <w:rPr>
          <w:rFonts w:hint="eastAsia" w:ascii="宋体" w:hAnsi="宋体" w:eastAsia="宋体" w:cs="宋体"/>
          <w:color w:val="auto"/>
        </w:rPr>
        <w:t>待测试样于此锥形瓶中，混合均匀，用</w:t>
      </w:r>
      <w:r>
        <w:rPr>
          <w:rFonts w:hint="eastAsia" w:ascii="宋体" w:hAnsi="宋体" w:eastAsia="宋体" w:cs="宋体"/>
          <w:color w:val="auto"/>
          <w:lang w:val="en-US" w:eastAsia="zh-CN"/>
        </w:rPr>
        <w:t>0.1</w:t>
      </w:r>
      <w:r>
        <w:rPr>
          <w:rFonts w:hint="eastAsia" w:ascii="宋体" w:hAnsi="宋体" w:eastAsia="宋体" w:cs="宋体"/>
          <w:color w:val="auto"/>
        </w:rPr>
        <w:t>mol/L氢氧化钠标准溶液滴定至粉红色，并保持30s不褪色为终点，记录消耗的氢氧化钠标准溶液体积V。</w:t>
      </w:r>
    </w:p>
    <w:p>
      <w:pPr>
        <w:pStyle w:val="45"/>
        <w:numPr>
          <w:ilvl w:val="2"/>
          <w:numId w:val="0"/>
        </w:numPr>
        <w:spacing w:before="156" w:after="156"/>
        <w:ind w:left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5.5.4  结果计算</w:t>
      </w:r>
    </w:p>
    <w:p>
      <w:pPr>
        <w:spacing w:line="360" w:lineRule="auto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 xml:space="preserve">                                               </w:t>
      </w:r>
      <w:r>
        <w:rPr>
          <w:rFonts w:hint="eastAsia" w:ascii="宋体" w:hAnsi="宋体" w:cs="宋体"/>
          <w:color w:val="auto"/>
          <w:sz w:val="21"/>
          <w:szCs w:val="21"/>
        </w:rPr>
        <w:t>V×C×56.11</w:t>
      </w:r>
    </w:p>
    <w:p>
      <w:pPr>
        <w:spacing w:line="360" w:lineRule="auto"/>
        <w:jc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酸值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mgKOH/g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color w:val="auto"/>
          <w:sz w:val="21"/>
          <w:szCs w:val="21"/>
        </w:rPr>
        <w:t>＝———————</w:t>
      </w:r>
    </w:p>
    <w:p>
      <w:pPr>
        <w:spacing w:line="360" w:lineRule="auto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 xml:space="preserve">                                       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cs="宋体"/>
          <w:color w:val="auto"/>
          <w:sz w:val="21"/>
          <w:szCs w:val="21"/>
        </w:rPr>
        <w:t>10×ρ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式中：C——氢氧化钠标准溶液浓度，mol/l；</w:t>
      </w:r>
    </w:p>
    <w:p>
      <w:pPr>
        <w:spacing w:line="360" w:lineRule="auto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 xml:space="preserve">          V——滴定用去氢氧化钠标准溶液的体积，ml；</w:t>
      </w:r>
    </w:p>
    <w:p>
      <w:pPr>
        <w:spacing w:line="360" w:lineRule="auto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 xml:space="preserve">          ρ——样品的密度，g/ml；</w:t>
      </w:r>
    </w:p>
    <w:p>
      <w:pPr>
        <w:spacing w:line="360" w:lineRule="auto"/>
        <w:rPr>
          <w:rFonts w:hint="eastAsia"/>
          <w:color w:val="auto"/>
        </w:rPr>
      </w:pPr>
      <w:r>
        <w:rPr>
          <w:rFonts w:hint="eastAsia" w:ascii="宋体" w:hAnsi="宋体" w:cs="宋体"/>
          <w:color w:val="auto"/>
          <w:sz w:val="21"/>
          <w:szCs w:val="21"/>
        </w:rPr>
        <w:t xml:space="preserve">          56.11——氢氧化钾的分子量。</w:t>
      </w:r>
    </w:p>
    <w:p>
      <w:pPr>
        <w:pStyle w:val="45"/>
        <w:numPr>
          <w:ilvl w:val="2"/>
          <w:numId w:val="0"/>
        </w:numPr>
        <w:spacing w:before="156" w:after="156"/>
        <w:ind w:left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5.5.5 允许差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  两次平行测定结果的绝对差值不大于0.03。</w:t>
      </w:r>
    </w:p>
    <w:p>
      <w:pPr>
        <w:pStyle w:val="41"/>
        <w:spacing w:before="156" w:after="156"/>
        <w:rPr>
          <w:rFonts w:hint="eastAsia" w:ascii="黑体" w:hAnsi="黑体" w:eastAsia="黑体" w:cs="黑体"/>
          <w:color w:val="auto"/>
          <w:lang w:val="en-US" w:eastAsia="zh-CN"/>
        </w:rPr>
      </w:pPr>
      <w:r>
        <w:rPr>
          <w:rFonts w:hint="eastAsia" w:ascii="黑体" w:hAnsi="黑体" w:eastAsia="黑体" w:cs="黑体"/>
          <w:color w:val="auto"/>
          <w:lang w:val="en-US" w:eastAsia="zh-CN"/>
        </w:rPr>
        <w:t>汞的测定</w:t>
      </w:r>
    </w:p>
    <w:p>
      <w:pPr>
        <w:pStyle w:val="24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按《化妆品安全技术规范（2015年版）》。</w:t>
      </w:r>
    </w:p>
    <w:p>
      <w:pPr>
        <w:pStyle w:val="41"/>
        <w:spacing w:before="156" w:after="156"/>
        <w:rPr>
          <w:rFonts w:ascii="宋体" w:hAnsi="宋体" w:eastAsia="宋体"/>
          <w:color w:val="auto"/>
        </w:rPr>
      </w:pPr>
      <w:r>
        <w:rPr>
          <w:rFonts w:hint="eastAsia" w:hAnsi="黑体" w:cs="黑体"/>
          <w:color w:val="auto"/>
          <w:lang w:val="en-US" w:eastAsia="zh-CN"/>
        </w:rPr>
        <w:t>铅的测定</w:t>
      </w:r>
    </w:p>
    <w:p>
      <w:pPr>
        <w:pStyle w:val="24"/>
        <w:rPr>
          <w:color w:val="auto"/>
        </w:rPr>
      </w:pPr>
      <w:r>
        <w:rPr>
          <w:rFonts w:hint="eastAsia" w:ascii="宋体" w:hAnsi="宋体" w:eastAsia="宋体" w:cs="Times New Roman"/>
          <w:color w:val="auto"/>
          <w:sz w:val="21"/>
          <w:szCs w:val="21"/>
          <w:lang w:val="en-US" w:eastAsia="zh-CN" w:bidi="ar-SA"/>
        </w:rPr>
        <w:t>按</w:t>
      </w:r>
      <w:r>
        <w:rPr>
          <w:rFonts w:hint="eastAsia" w:hAnsi="宋体" w:cs="Times New Roman"/>
          <w:color w:val="auto"/>
          <w:sz w:val="21"/>
          <w:szCs w:val="21"/>
          <w:lang w:val="en-US" w:eastAsia="zh-CN" w:bidi="ar-SA"/>
        </w:rPr>
        <w:t>《化妆品安全技术规范（2015年版）》。</w:t>
      </w:r>
    </w:p>
    <w:p>
      <w:pPr>
        <w:pStyle w:val="41"/>
        <w:tabs>
          <w:tab w:val="center" w:pos="4201"/>
          <w:tab w:val="right" w:leader="dot" w:pos="9298"/>
        </w:tabs>
        <w:spacing w:before="156" w:after="156"/>
        <w:rPr>
          <w:color w:val="auto"/>
        </w:rPr>
      </w:pPr>
      <w:r>
        <w:rPr>
          <w:rFonts w:hint="eastAsia" w:hAnsi="黑体" w:cs="黑体"/>
          <w:color w:val="auto"/>
          <w:lang w:val="en-US" w:eastAsia="zh-CN"/>
        </w:rPr>
        <w:t>砷的测定</w:t>
      </w:r>
    </w:p>
    <w:p>
      <w:pPr>
        <w:pStyle w:val="24"/>
        <w:rPr>
          <w:color w:val="auto"/>
        </w:rPr>
      </w:pPr>
      <w:r>
        <w:rPr>
          <w:rFonts w:hint="eastAsia" w:ascii="宋体" w:hAnsi="宋体" w:eastAsia="宋体" w:cs="Times New Roman"/>
          <w:color w:val="auto"/>
          <w:sz w:val="21"/>
          <w:szCs w:val="21"/>
          <w:lang w:val="en-US" w:eastAsia="zh-CN" w:bidi="ar-SA"/>
        </w:rPr>
        <w:t>按</w:t>
      </w:r>
      <w:r>
        <w:rPr>
          <w:rFonts w:hint="eastAsia" w:hAnsi="宋体" w:cs="Times New Roman"/>
          <w:color w:val="auto"/>
          <w:sz w:val="21"/>
          <w:szCs w:val="21"/>
          <w:lang w:val="en-US" w:eastAsia="zh-CN" w:bidi="ar-SA"/>
        </w:rPr>
        <w:t>《化妆品安全技术规范（2015年版）》。</w:t>
      </w:r>
    </w:p>
    <w:p>
      <w:pPr>
        <w:pStyle w:val="41"/>
        <w:spacing w:before="156" w:after="156"/>
        <w:rPr>
          <w:rFonts w:hint="eastAsia" w:ascii="黑体" w:hAnsi="黑体" w:eastAsia="黑体" w:cs="黑体"/>
          <w:color w:val="auto"/>
          <w:lang w:val="en-US" w:eastAsia="zh-CN"/>
        </w:rPr>
      </w:pPr>
      <w:r>
        <w:rPr>
          <w:rFonts w:hint="eastAsia" w:ascii="黑体" w:hAnsi="黑体" w:eastAsia="黑体" w:cs="黑体"/>
          <w:color w:val="auto"/>
          <w:lang w:val="en-US" w:eastAsia="zh-CN"/>
        </w:rPr>
        <w:t>镉的测定</w:t>
      </w:r>
    </w:p>
    <w:p>
      <w:pPr>
        <w:pStyle w:val="24"/>
        <w:rPr>
          <w:color w:val="auto"/>
        </w:rPr>
      </w:pPr>
      <w:r>
        <w:rPr>
          <w:rFonts w:hint="eastAsia" w:hAnsi="宋体" w:cs="Times New Roman"/>
          <w:color w:val="auto"/>
          <w:sz w:val="21"/>
          <w:szCs w:val="21"/>
          <w:lang w:val="en-US" w:eastAsia="zh-CN" w:bidi="ar-SA"/>
        </w:rPr>
        <w:t>按《化妆品安全技术规范（2015年版）》。</w:t>
      </w:r>
    </w:p>
    <w:p>
      <w:pPr>
        <w:pStyle w:val="41"/>
        <w:spacing w:before="156" w:after="156"/>
        <w:rPr>
          <w:rFonts w:ascii="宋体" w:hAnsi="宋体" w:eastAsia="宋体"/>
          <w:color w:val="auto"/>
        </w:rPr>
      </w:pPr>
      <w:r>
        <w:rPr>
          <w:rFonts w:hint="eastAsia" w:ascii="黑体" w:hAnsi="黑体" w:eastAsia="黑体" w:cs="黑体"/>
          <w:color w:val="auto"/>
          <w:lang w:val="en-US" w:eastAsia="zh-CN"/>
        </w:rPr>
        <w:t>灼</w:t>
      </w:r>
      <w:r>
        <w:rPr>
          <w:rFonts w:hint="eastAsia" w:hAnsi="黑体" w:cs="黑体"/>
          <w:color w:val="auto"/>
          <w:lang w:val="en-US" w:eastAsia="zh-CN"/>
        </w:rPr>
        <w:t>烧</w:t>
      </w:r>
      <w:r>
        <w:rPr>
          <w:rFonts w:hint="eastAsia" w:ascii="黑体" w:hAnsi="黑体" w:eastAsia="黑体" w:cs="黑体"/>
          <w:color w:val="auto"/>
          <w:lang w:val="en-US" w:eastAsia="zh-CN"/>
        </w:rPr>
        <w:t>残渣</w:t>
      </w:r>
    </w:p>
    <w:p>
      <w:pPr>
        <w:pStyle w:val="24"/>
        <w:rPr>
          <w:color w:val="auto"/>
        </w:rPr>
      </w:pPr>
      <w:r>
        <w:rPr>
          <w:rFonts w:hint="eastAsia" w:ascii="宋体" w:hAnsi="宋体" w:eastAsia="宋体" w:cs="Times New Roman"/>
          <w:color w:val="auto"/>
          <w:sz w:val="21"/>
          <w:szCs w:val="21"/>
          <w:lang w:val="en-US" w:eastAsia="zh-CN" w:bidi="ar-SA"/>
        </w:rPr>
        <w:t xml:space="preserve">按 </w:t>
      </w:r>
      <w:r>
        <w:rPr>
          <w:rFonts w:hAnsi="宋体"/>
          <w:color w:val="auto"/>
        </w:rPr>
        <w:t xml:space="preserve">GB/T </w:t>
      </w:r>
      <w:r>
        <w:rPr>
          <w:rFonts w:hint="eastAsia" w:hAnsi="宋体"/>
          <w:color w:val="auto"/>
          <w:lang w:val="en-US" w:eastAsia="zh-CN"/>
        </w:rPr>
        <w:t>7531</w:t>
      </w:r>
      <w:r>
        <w:rPr>
          <w:rFonts w:hint="eastAsia" w:ascii="宋体" w:hAnsi="宋体" w:eastAsia="宋体"/>
          <w:color w:val="auto"/>
          <w:lang w:val="en-US" w:eastAsia="zh-CN"/>
        </w:rPr>
        <w:t>的规定测定</w:t>
      </w:r>
      <w:r>
        <w:rPr>
          <w:rFonts w:hint="eastAsia" w:hAnsi="宋体" w:cs="Times New Roman"/>
          <w:color w:val="auto"/>
          <w:sz w:val="21"/>
          <w:szCs w:val="21"/>
          <w:lang w:val="en-US" w:eastAsia="zh-CN" w:bidi="ar-SA"/>
        </w:rPr>
        <w:t>。</w:t>
      </w:r>
    </w:p>
    <w:p>
      <w:pPr>
        <w:pStyle w:val="44"/>
        <w:spacing w:before="312" w:after="312"/>
        <w:rPr>
          <w:color w:val="auto"/>
        </w:rPr>
      </w:pPr>
      <w:r>
        <w:rPr>
          <w:rFonts w:hint="eastAsia"/>
          <w:color w:val="auto"/>
        </w:rPr>
        <w:t>检验规则</w:t>
      </w:r>
    </w:p>
    <w:p>
      <w:pPr>
        <w:pStyle w:val="41"/>
        <w:spacing w:before="156" w:after="156"/>
        <w:rPr>
          <w:rFonts w:hAnsi="宋体"/>
          <w:color w:val="auto"/>
        </w:rPr>
      </w:pPr>
      <w:r>
        <w:rPr>
          <w:rFonts w:hint="eastAsia" w:hAnsi="宋体"/>
          <w:color w:val="auto"/>
        </w:rPr>
        <w:t>出厂检验</w:t>
      </w:r>
    </w:p>
    <w:p>
      <w:pPr>
        <w:pStyle w:val="41"/>
        <w:numPr>
          <w:ilvl w:val="0"/>
          <w:numId w:val="0"/>
        </w:numPr>
        <w:spacing w:before="156" w:after="156"/>
        <w:ind w:firstLine="420" w:firstLineChars="200"/>
        <w:rPr>
          <w:rFonts w:ascii="宋体" w:hAnsi="宋体" w:eastAsia="宋体"/>
          <w:color w:val="auto"/>
        </w:rPr>
      </w:pPr>
      <w:r>
        <w:rPr>
          <w:rFonts w:hint="eastAsia" w:asciiTheme="minorEastAsia" w:hAnsiTheme="minorEastAsia" w:eastAsiaTheme="minorEastAsia"/>
          <w:color w:val="auto"/>
          <w:lang w:eastAsia="zh-CN"/>
        </w:rPr>
        <w:t>异戊二醇</w:t>
      </w:r>
      <w:r>
        <w:rPr>
          <w:rFonts w:hint="eastAsia" w:ascii="宋体" w:hAnsi="宋体" w:eastAsia="宋体"/>
          <w:color w:val="auto"/>
        </w:rPr>
        <w:t>应由生产厂质量检验部门负责检验，生产厂应保证出厂产品符合本标准的</w:t>
      </w:r>
      <w:r>
        <w:rPr>
          <w:rFonts w:hint="eastAsia" w:ascii="宋体" w:hAnsi="宋体" w:eastAsia="宋体"/>
          <w:color w:val="auto"/>
          <w:lang w:eastAsia="zh-CN"/>
        </w:rPr>
        <w:t>所有</w:t>
      </w:r>
      <w:r>
        <w:rPr>
          <w:rFonts w:hint="eastAsia" w:ascii="宋体" w:hAnsi="宋体" w:eastAsia="宋体"/>
          <w:color w:val="auto"/>
        </w:rPr>
        <w:t>要</w:t>
      </w:r>
      <w:r>
        <w:rPr>
          <w:rFonts w:hint="eastAsia" w:ascii="宋体" w:hAnsi="宋体" w:eastAsia="宋体"/>
          <w:color w:val="auto"/>
        </w:rPr>
        <w:t>求。每批出厂产品都应附有质量合格证书。</w:t>
      </w:r>
    </w:p>
    <w:p>
      <w:pPr>
        <w:pStyle w:val="41"/>
        <w:spacing w:before="156" w:after="156"/>
        <w:rPr>
          <w:color w:val="auto"/>
        </w:rPr>
      </w:pPr>
      <w:r>
        <w:rPr>
          <w:rFonts w:hint="eastAsia"/>
          <w:color w:val="auto"/>
        </w:rPr>
        <w:t>抽样方法</w:t>
      </w:r>
    </w:p>
    <w:p>
      <w:pPr>
        <w:pStyle w:val="24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cs="Times New Roman" w:asciiTheme="minorEastAsia" w:hAnsiTheme="minorEastAsia" w:eastAsiaTheme="minorEastAsia"/>
          <w:color w:val="auto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sz w:val="21"/>
          <w:szCs w:val="21"/>
          <w:lang w:val="en-US" w:eastAsia="zh-CN" w:bidi="ar-SA"/>
        </w:rPr>
        <w:t>抽样按</w:t>
      </w:r>
      <w:r>
        <w:rPr>
          <w:rFonts w:hint="eastAsia" w:ascii="宋体" w:hAnsi="宋体" w:eastAsia="宋体" w:cs="Times New Roman"/>
          <w:color w:val="auto"/>
          <w:kern w:val="0"/>
          <w:sz w:val="21"/>
          <w:szCs w:val="22"/>
          <w:lang w:val="en-US" w:eastAsia="zh-CN" w:bidi="ar-SA"/>
        </w:rPr>
        <w:t>GB/T</w:t>
      </w:r>
      <w:r>
        <w:rPr>
          <w:rFonts w:hint="eastAsia" w:hAnsi="宋体" w:cs="Times New Roman"/>
          <w:color w:val="auto"/>
          <w:kern w:val="0"/>
          <w:sz w:val="21"/>
          <w:szCs w:val="22"/>
          <w:lang w:val="en-US" w:eastAsia="zh-CN" w:bidi="ar-SA"/>
        </w:rPr>
        <w:t xml:space="preserve"> </w:t>
      </w:r>
      <w:r>
        <w:rPr>
          <w:rFonts w:hint="eastAsia" w:ascii="宋体" w:hAnsi="宋体" w:eastAsia="宋体" w:cs="Times New Roman"/>
          <w:color w:val="auto"/>
          <w:kern w:val="0"/>
          <w:sz w:val="21"/>
          <w:szCs w:val="22"/>
          <w:lang w:val="en-US" w:eastAsia="zh-CN" w:bidi="ar-SA"/>
        </w:rPr>
        <w:t>6678</w:t>
      </w:r>
      <w:r>
        <w:rPr>
          <w:rFonts w:hint="eastAsia" w:ascii="宋体" w:hAnsi="宋体" w:eastAsia="宋体" w:cs="Times New Roman"/>
          <w:color w:val="auto"/>
          <w:sz w:val="21"/>
          <w:szCs w:val="21"/>
          <w:lang w:val="en-US" w:eastAsia="zh-CN" w:bidi="ar-SA"/>
        </w:rPr>
        <w:t>中规定的抽样方案及GB/T 6680中规定</w:t>
      </w:r>
      <w:r>
        <w:rPr>
          <w:rFonts w:hint="eastAsia" w:ascii="宋体" w:hAnsi="宋体" w:eastAsia="宋体" w:cs="Times New Roman"/>
          <w:color w:val="auto"/>
          <w:sz w:val="21"/>
          <w:szCs w:val="21"/>
          <w:lang w:val="en-US" w:eastAsia="zh-CN" w:bidi="ar-SA"/>
        </w:rPr>
        <w:t>的抽样方法进行</w:t>
      </w:r>
      <w:r>
        <w:rPr>
          <w:rFonts w:hint="eastAsia" w:hAnsi="宋体" w:cs="Times New Roman"/>
          <w:color w:val="auto"/>
          <w:sz w:val="21"/>
          <w:szCs w:val="21"/>
          <w:lang w:val="en-US" w:eastAsia="zh-CN" w:bidi="ar-SA"/>
        </w:rPr>
        <w:t>。</w:t>
      </w:r>
      <w:r>
        <w:rPr>
          <w:rFonts w:hint="eastAsia" w:ascii="宋体" w:hAnsi="宋体" w:eastAsia="宋体" w:cs="Times New Roman"/>
          <w:color w:val="auto"/>
          <w:sz w:val="21"/>
          <w:szCs w:val="21"/>
          <w:lang w:val="en-US" w:eastAsia="zh-CN" w:bidi="ar-SA"/>
        </w:rPr>
        <w:t>每批的包装单位1个-5个，全抽；5个-400个，取样数按</w:t>
      </w:r>
      <w:r>
        <w:rPr>
          <w:rFonts w:hint="eastAsia" w:ascii="宋体" w:hAnsi="宋体" w:eastAsia="宋体" w:cs="Times New Roman"/>
          <w:color w:val="auto"/>
          <w:sz w:val="21"/>
          <w:szCs w:val="21"/>
          <w:lang w:val="en-US" w:eastAsia="zh-CN" w:bidi="ar-SA"/>
        </w:rPr>
        <w:object>
          <v:shape id="_x0000_i1025" o:spt="75" type="#_x0000_t75" style="height:12.55pt;width:16.1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7">
            <o:LockedField>false</o:LockedField>
          </o:OLEObject>
        </w:object>
      </w:r>
      <w:r>
        <w:rPr>
          <w:rFonts w:hint="eastAsia" w:ascii="宋体" w:hAnsi="宋体" w:eastAsia="宋体" w:cs="Times New Roman"/>
          <w:color w:val="auto"/>
          <w:sz w:val="21"/>
          <w:szCs w:val="21"/>
          <w:lang w:val="en-US" w:eastAsia="zh-CN" w:bidi="ar-SA"/>
        </w:rPr>
        <w:t>/2+1确定；400个以上，取样数按</w:t>
      </w:r>
      <w:r>
        <w:rPr>
          <w:rFonts w:hint="eastAsia" w:ascii="宋体" w:hAnsi="宋体" w:eastAsia="宋体" w:cs="Times New Roman"/>
          <w:color w:val="auto"/>
          <w:sz w:val="21"/>
          <w:szCs w:val="21"/>
          <w:lang w:val="en-US" w:eastAsia="zh-CN" w:bidi="ar-SA"/>
        </w:rPr>
        <w:object>
          <v:shape id="_x0000_i1026" o:spt="75" type="#_x0000_t75" style="height:12.55pt;width:16.1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9">
            <o:LockedField>false</o:LockedField>
          </o:OLEObject>
        </w:object>
      </w:r>
      <w:r>
        <w:rPr>
          <w:rFonts w:hint="eastAsia" w:ascii="宋体" w:hAnsi="宋体" w:eastAsia="宋体" w:cs="Times New Roman"/>
          <w:color w:val="auto"/>
          <w:sz w:val="21"/>
          <w:szCs w:val="21"/>
          <w:lang w:val="en-US" w:eastAsia="zh-CN" w:bidi="ar-SA"/>
        </w:rPr>
        <w:t>/4+1确定。当取样数量带小数时，进为整数。开启包装后应先检查水分和杂质，而后振摇使其充分混匀，再用玻璃取样管从每个包装单位中均匀抽取试样50mL-100mL，将所抽取的试样全部置于混样器内充分混匀，分别装入两个清洁干燥密闭的惰性容器中，避光保存。容器上贴标签，注明：生产厂名、产品名称、批号、数量、取样日期及取样人。一瓶作检验用，另一瓶留存备查</w:t>
      </w:r>
      <w:r>
        <w:rPr>
          <w:rFonts w:hint="eastAsia" w:cs="Times New Roman" w:asciiTheme="minorEastAsia" w:hAnsiTheme="minorEastAsia" w:eastAsiaTheme="minorEastAsia"/>
          <w:color w:val="auto"/>
          <w:sz w:val="21"/>
          <w:szCs w:val="21"/>
          <w:lang w:val="en-US" w:eastAsia="zh-CN" w:bidi="ar-SA"/>
        </w:rPr>
        <w:t>。</w:t>
      </w:r>
    </w:p>
    <w:p>
      <w:pPr>
        <w:pStyle w:val="41"/>
        <w:numPr>
          <w:ilvl w:val="0"/>
          <w:numId w:val="0"/>
        </w:numPr>
        <w:spacing w:before="156" w:after="156"/>
        <w:rPr>
          <w:rFonts w:ascii="宋体" w:hAnsi="宋体" w:eastAsia="宋体"/>
          <w:color w:val="auto"/>
        </w:rPr>
      </w:pPr>
      <w:r>
        <w:rPr>
          <w:rFonts w:hint="eastAsia"/>
          <w:color w:val="auto"/>
        </w:rPr>
        <w:t xml:space="preserve">6.3  </w:t>
      </w:r>
      <w:r>
        <w:rPr>
          <w:rFonts w:hint="eastAsia" w:hAnsi="宋体"/>
          <w:color w:val="auto"/>
        </w:rPr>
        <w:t>验收</w:t>
      </w:r>
      <w:r>
        <w:rPr>
          <w:rFonts w:hint="eastAsia" w:ascii="宋体" w:hAnsi="宋体" w:eastAsia="宋体"/>
          <w:color w:val="auto"/>
        </w:rPr>
        <w:t xml:space="preserve"> </w:t>
      </w:r>
    </w:p>
    <w:p>
      <w:pPr>
        <w:pStyle w:val="24"/>
        <w:rPr>
          <w:color w:val="auto"/>
        </w:rPr>
      </w:pPr>
      <w:r>
        <w:rPr>
          <w:rFonts w:hint="eastAsia" w:hAnsi="宋体"/>
          <w:color w:val="auto"/>
        </w:rPr>
        <w:t>验收单位有权按本标准规定的试验方法和检验规则，检验所收到的</w:t>
      </w:r>
      <w:r>
        <w:rPr>
          <w:rFonts w:hint="eastAsia" w:asciiTheme="minorEastAsia" w:hAnsiTheme="minorEastAsia" w:eastAsiaTheme="minorEastAsia"/>
          <w:color w:val="auto"/>
          <w:szCs w:val="21"/>
          <w:lang w:eastAsia="zh-CN"/>
        </w:rPr>
        <w:t>异戊二醇</w:t>
      </w:r>
      <w:r>
        <w:rPr>
          <w:rFonts w:hint="eastAsia" w:hAnsi="宋体"/>
          <w:color w:val="auto"/>
        </w:rPr>
        <w:t>质量是否符合本标准的要求，每一批号作一次验收，不同批号分别验收。</w:t>
      </w:r>
    </w:p>
    <w:p>
      <w:pPr>
        <w:pStyle w:val="41"/>
        <w:numPr>
          <w:ilvl w:val="0"/>
          <w:numId w:val="0"/>
        </w:numPr>
        <w:spacing w:before="156" w:after="156"/>
        <w:rPr>
          <w:color w:val="auto"/>
        </w:rPr>
      </w:pPr>
      <w:r>
        <w:rPr>
          <w:rFonts w:hint="eastAsia"/>
          <w:color w:val="auto"/>
        </w:rPr>
        <w:t>6.4  复验</w:t>
      </w:r>
    </w:p>
    <w:p>
      <w:pPr>
        <w:pStyle w:val="41"/>
        <w:numPr>
          <w:ilvl w:val="0"/>
          <w:numId w:val="0"/>
        </w:numPr>
        <w:spacing w:before="156" w:after="156"/>
        <w:ind w:firstLine="420" w:firstLineChars="200"/>
        <w:rPr>
          <w:rFonts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如验收结果有一项不符合本标准要求时，可会同生产厂加倍抽取试样复验，最终检验结果以复检结果为准。重新检验结果如仍有指标不合格时，则该批产品不能验收。</w:t>
      </w:r>
    </w:p>
    <w:p>
      <w:pPr>
        <w:pStyle w:val="41"/>
        <w:numPr>
          <w:ilvl w:val="0"/>
          <w:numId w:val="0"/>
        </w:numPr>
        <w:spacing w:before="156" w:after="156"/>
        <w:rPr>
          <w:color w:val="auto"/>
        </w:rPr>
      </w:pPr>
      <w:r>
        <w:rPr>
          <w:rFonts w:hint="eastAsia"/>
          <w:color w:val="auto"/>
        </w:rPr>
        <w:t>6.5  争议处理</w:t>
      </w:r>
    </w:p>
    <w:p>
      <w:pPr>
        <w:pStyle w:val="41"/>
        <w:numPr>
          <w:ilvl w:val="0"/>
          <w:numId w:val="0"/>
        </w:numPr>
        <w:spacing w:before="156" w:after="156"/>
        <w:ind w:firstLine="420" w:firstLineChars="200"/>
        <w:rPr>
          <w:rFonts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当供需双方对产品质量发生异议时，可由双方协议解决或由法定检验机构进行仲裁。</w:t>
      </w:r>
    </w:p>
    <w:p>
      <w:pPr>
        <w:pStyle w:val="44"/>
        <w:spacing w:before="312" w:after="312"/>
        <w:rPr>
          <w:bCs/>
          <w:color w:val="auto"/>
          <w:szCs w:val="21"/>
        </w:rPr>
      </w:pPr>
      <w:r>
        <w:rPr>
          <w:rFonts w:hint="eastAsia"/>
          <w:bCs/>
          <w:color w:val="auto"/>
          <w:szCs w:val="21"/>
        </w:rPr>
        <w:t>标志、包装、运输、贮存、保质期</w:t>
      </w:r>
    </w:p>
    <w:p>
      <w:pPr>
        <w:pStyle w:val="41"/>
        <w:numPr>
          <w:ilvl w:val="0"/>
          <w:numId w:val="0"/>
        </w:numPr>
        <w:spacing w:before="156" w:after="156"/>
        <w:rPr>
          <w:color w:val="auto"/>
        </w:rPr>
      </w:pPr>
      <w:r>
        <w:rPr>
          <w:rFonts w:hint="eastAsia"/>
          <w:color w:val="auto"/>
        </w:rPr>
        <w:t>7.1  标志</w:t>
      </w:r>
    </w:p>
    <w:p>
      <w:pPr>
        <w:pStyle w:val="41"/>
        <w:numPr>
          <w:ilvl w:val="0"/>
          <w:numId w:val="0"/>
        </w:numPr>
        <w:spacing w:before="156" w:after="156"/>
        <w:ind w:firstLine="420" w:firstLineChars="200"/>
        <w:rPr>
          <w:rFonts w:ascii="宋体" w:hAnsi="宋体" w:eastAsia="宋体"/>
          <w:color w:val="auto"/>
        </w:rPr>
      </w:pPr>
      <w:bookmarkStart w:id="3" w:name="OLE_LINK8"/>
      <w:bookmarkStart w:id="4" w:name="OLE_LINK9"/>
      <w:r>
        <w:rPr>
          <w:rFonts w:hint="eastAsia" w:ascii="宋体" w:hAnsi="宋体" w:eastAsia="宋体"/>
          <w:color w:val="auto"/>
        </w:rPr>
        <w:t>产品外包装应注明：产品名称、生产厂名和地址、批号、净含量、生产日期和</w:t>
      </w:r>
      <w:r>
        <w:rPr>
          <w:rFonts w:hint="eastAsia" w:ascii="宋体" w:hAnsi="宋体" w:eastAsia="宋体"/>
          <w:color w:val="auto"/>
          <w:lang w:eastAsia="zh-CN"/>
        </w:rPr>
        <w:t>有效日</w:t>
      </w:r>
      <w:r>
        <w:rPr>
          <w:rFonts w:hint="eastAsia" w:ascii="宋体" w:hAnsi="宋体" w:eastAsia="宋体"/>
          <w:color w:val="auto"/>
        </w:rPr>
        <w:t>期、标准编号及相关标志，并应符合的有关部门的规定。订货单位如有特殊要求，可与生产厂另订协议。</w:t>
      </w:r>
      <w:bookmarkEnd w:id="3"/>
      <w:bookmarkEnd w:id="4"/>
    </w:p>
    <w:p>
      <w:pPr>
        <w:pStyle w:val="41"/>
        <w:numPr>
          <w:ilvl w:val="1"/>
          <w:numId w:val="10"/>
        </w:numPr>
        <w:spacing w:before="156" w:after="156"/>
        <w:rPr>
          <w:color w:val="auto"/>
        </w:rPr>
      </w:pPr>
      <w:r>
        <w:rPr>
          <w:rFonts w:hint="eastAsia"/>
          <w:color w:val="auto"/>
        </w:rPr>
        <w:t>包装</w:t>
      </w:r>
    </w:p>
    <w:p>
      <w:pPr>
        <w:pStyle w:val="41"/>
        <w:numPr>
          <w:ilvl w:val="0"/>
          <w:numId w:val="0"/>
        </w:numPr>
        <w:spacing w:before="156" w:after="156"/>
        <w:ind w:firstLine="420" w:firstLineChars="200"/>
        <w:rPr>
          <w:rFonts w:ascii="宋体" w:hAnsi="宋体" w:eastAsia="宋体"/>
          <w:color w:val="auto"/>
        </w:rPr>
      </w:pPr>
      <w:r>
        <w:rPr>
          <w:rFonts w:hint="eastAsia" w:asciiTheme="minorEastAsia" w:hAnsiTheme="minorEastAsia" w:eastAsiaTheme="minorEastAsia"/>
          <w:color w:val="auto"/>
          <w:lang w:eastAsia="zh-CN"/>
        </w:rPr>
        <w:t>异戊二醇</w:t>
      </w:r>
      <w:r>
        <w:rPr>
          <w:rFonts w:hint="eastAsia" w:ascii="宋体" w:hAnsi="宋体" w:eastAsia="宋体"/>
          <w:color w:val="auto"/>
        </w:rPr>
        <w:t>应装于清洁、干燥、无杂味的内涂钢桶内，或按客户要求包装。</w:t>
      </w:r>
    </w:p>
    <w:p>
      <w:pPr>
        <w:pStyle w:val="41"/>
        <w:numPr>
          <w:ilvl w:val="1"/>
          <w:numId w:val="10"/>
        </w:numPr>
        <w:spacing w:before="156" w:after="156"/>
        <w:rPr>
          <w:rFonts w:hAnsi="宋体"/>
          <w:color w:val="auto"/>
        </w:rPr>
      </w:pPr>
      <w:r>
        <w:rPr>
          <w:rFonts w:hint="eastAsia" w:hAnsi="宋体"/>
          <w:color w:val="auto"/>
        </w:rPr>
        <w:t>运输</w:t>
      </w:r>
    </w:p>
    <w:p>
      <w:pPr>
        <w:pStyle w:val="24"/>
        <w:rPr>
          <w:rFonts w:hAnsi="宋体"/>
          <w:color w:val="auto"/>
        </w:rPr>
      </w:pPr>
      <w:r>
        <w:rPr>
          <w:rFonts w:hint="eastAsia"/>
          <w:color w:val="auto"/>
        </w:rPr>
        <w:t>在运输过程中应轻装轻卸，</w:t>
      </w:r>
      <w:r>
        <w:rPr>
          <w:rFonts w:hint="eastAsia" w:hAnsi="宋体"/>
          <w:color w:val="auto"/>
        </w:rPr>
        <w:t>防止日晒雨淋，不得与有毒、有害物质混装、混运，并应符合的有关部门的规定。</w:t>
      </w:r>
    </w:p>
    <w:p>
      <w:pPr>
        <w:pStyle w:val="41"/>
        <w:numPr>
          <w:ilvl w:val="0"/>
          <w:numId w:val="0"/>
        </w:numPr>
        <w:spacing w:before="156" w:after="156"/>
        <w:rPr>
          <w:color w:val="auto"/>
        </w:rPr>
      </w:pPr>
      <w:r>
        <w:rPr>
          <w:rFonts w:hint="eastAsia"/>
          <w:color w:val="auto"/>
        </w:rPr>
        <w:t>7.4  贮存</w:t>
      </w:r>
    </w:p>
    <w:p>
      <w:pPr>
        <w:pStyle w:val="41"/>
        <w:numPr>
          <w:ilvl w:val="0"/>
          <w:numId w:val="0"/>
        </w:numPr>
        <w:spacing w:before="156" w:after="156"/>
        <w:ind w:firstLine="420" w:firstLineChars="200"/>
        <w:rPr>
          <w:rFonts w:ascii="宋体" w:hAnsi="宋体" w:eastAsia="宋体"/>
          <w:color w:val="auto"/>
          <w:szCs w:val="24"/>
        </w:rPr>
      </w:pPr>
      <w:r>
        <w:rPr>
          <w:rFonts w:hint="eastAsia" w:ascii="宋体" w:hAnsi="宋体" w:eastAsia="宋体"/>
          <w:color w:val="auto"/>
        </w:rPr>
        <w:t>本产品贮存在干燥、</w:t>
      </w:r>
      <w:r>
        <w:rPr>
          <w:rFonts w:hint="eastAsia" w:ascii="宋体" w:hAnsi="宋体" w:eastAsia="宋体"/>
          <w:color w:val="auto"/>
          <w:lang w:eastAsia="zh-CN"/>
        </w:rPr>
        <w:t>避风</w:t>
      </w:r>
      <w:r>
        <w:rPr>
          <w:rFonts w:hint="eastAsia" w:ascii="宋体" w:hAnsi="宋体" w:eastAsia="宋体"/>
          <w:color w:val="auto"/>
        </w:rPr>
        <w:t>的仓库内，避免杂气污染，远离火源。</w:t>
      </w:r>
    </w:p>
    <w:p>
      <w:pPr>
        <w:pStyle w:val="44"/>
        <w:numPr>
          <w:ilvl w:val="0"/>
          <w:numId w:val="0"/>
        </w:numPr>
        <w:spacing w:before="312" w:after="312"/>
        <w:rPr>
          <w:color w:val="auto"/>
        </w:rPr>
      </w:pPr>
      <w:r>
        <w:rPr>
          <w:rFonts w:hint="eastAsia"/>
          <w:color w:val="auto"/>
        </w:rPr>
        <w:t xml:space="preserve">7.5  保质期  </w:t>
      </w:r>
    </w:p>
    <w:p>
      <w:pPr>
        <w:pStyle w:val="44"/>
        <w:numPr>
          <w:ilvl w:val="0"/>
          <w:numId w:val="0"/>
        </w:numPr>
        <w:spacing w:before="312" w:after="312"/>
        <w:ind w:firstLine="420" w:firstLineChars="200"/>
        <w:rPr>
          <w:color w:val="auto"/>
        </w:rPr>
      </w:pPr>
      <w:r>
        <w:rPr>
          <w:rFonts w:hint="eastAsia" w:ascii="宋体" w:hAnsi="宋体" w:eastAsia="宋体"/>
          <w:color w:val="auto"/>
        </w:rPr>
        <w:t>在符合规定的贮运条件、包装完整、未经启封的情况下，本产品保质期不少于</w:t>
      </w:r>
      <w:r>
        <w:rPr>
          <w:rFonts w:hint="eastAsia" w:ascii="宋体" w:hAnsi="宋体" w:eastAsia="宋体"/>
          <w:color w:val="auto"/>
          <w:lang w:val="en-US" w:eastAsia="zh-CN"/>
        </w:rPr>
        <w:t>12个月</w:t>
      </w:r>
      <w:r>
        <w:rPr>
          <w:rFonts w:hint="eastAsia" w:ascii="宋体" w:hAnsi="宋体" w:eastAsia="宋体"/>
          <w:color w:val="auto"/>
        </w:rPr>
        <w:t>。</w:t>
      </w:r>
    </w:p>
    <w:p>
      <w:pPr>
        <w:pStyle w:val="24"/>
        <w:rPr>
          <w:color w:val="auto"/>
        </w:rPr>
      </w:pPr>
    </w:p>
    <w:p>
      <w:pPr>
        <w:pStyle w:val="24"/>
        <w:rPr>
          <w:color w:val="auto"/>
        </w:rPr>
      </w:pPr>
    </w:p>
    <w:p>
      <w:pPr>
        <w:pStyle w:val="24"/>
        <w:rPr>
          <w:color w:val="auto"/>
        </w:rPr>
      </w:pPr>
    </w:p>
    <w:p>
      <w:pPr>
        <w:pStyle w:val="24"/>
        <w:rPr>
          <w:color w:val="auto"/>
        </w:rPr>
      </w:pPr>
    </w:p>
    <w:p>
      <w:pPr>
        <w:pStyle w:val="24"/>
        <w:ind w:firstLine="0" w:firstLineChars="0"/>
        <w:rPr>
          <w:color w:val="auto"/>
        </w:rPr>
      </w:pPr>
    </w:p>
    <w:p>
      <w:pPr>
        <w:pStyle w:val="97"/>
        <w:numPr>
          <w:ilvl w:val="0"/>
          <w:numId w:val="0"/>
        </w:numPr>
        <w:jc w:val="both"/>
        <w:rPr>
          <w:color w:val="auto"/>
        </w:rPr>
      </w:pPr>
    </w:p>
    <w:p>
      <w:pPr>
        <w:pStyle w:val="83"/>
        <w:rPr>
          <w:color w:val="auto"/>
        </w:rPr>
      </w:pPr>
      <w:r>
        <w:rPr>
          <w:color w:val="auto"/>
        </w:rPr>
        <w:br w:type="textWrapping"/>
      </w:r>
      <w:r>
        <w:rPr>
          <w:rFonts w:hint="eastAsia"/>
          <w:color w:val="auto"/>
        </w:rPr>
        <w:t>（资料性附录）</w:t>
      </w:r>
      <w:r>
        <w:rPr>
          <w:color w:val="auto"/>
        </w:rPr>
        <w:br w:type="textWrapping"/>
      </w:r>
      <w:bookmarkStart w:id="5" w:name="_GoBack"/>
      <w:r>
        <w:rPr>
          <w:rFonts w:hint="eastAsia" w:hAnsi="黑体"/>
          <w:color w:val="auto"/>
          <w:szCs w:val="21"/>
          <w:lang w:eastAsia="zh-CN"/>
        </w:rPr>
        <w:t>异戊二醇</w:t>
      </w:r>
      <w:r>
        <w:rPr>
          <w:rFonts w:hint="eastAsia"/>
          <w:color w:val="auto"/>
        </w:rPr>
        <w:t>典型气相色谱图（归一法）</w:t>
      </w:r>
    </w:p>
    <w:bookmarkEnd w:id="5"/>
    <w:p>
      <w:pPr>
        <w:pStyle w:val="101"/>
        <w:spacing w:before="312" w:after="312"/>
        <w:rPr>
          <w:color w:val="auto"/>
        </w:rPr>
      </w:pPr>
      <w:r>
        <w:rPr>
          <w:rFonts w:hint="eastAsia"/>
          <w:color w:val="auto"/>
        </w:rPr>
        <w:t>操作条件</w:t>
      </w:r>
    </w:p>
    <w:p>
      <w:pPr>
        <w:pStyle w:val="13"/>
        <w:spacing w:line="240" w:lineRule="auto"/>
        <w:ind w:firstLine="420" w:firstLineChars="200"/>
        <w:rPr>
          <w:color w:val="auto"/>
          <w:szCs w:val="21"/>
        </w:rPr>
      </w:pPr>
      <w:r>
        <w:rPr>
          <w:rFonts w:hint="eastAsia"/>
          <w:color w:val="auto"/>
          <w:szCs w:val="21"/>
          <w:lang w:val="en-US" w:eastAsia="zh-CN"/>
        </w:rPr>
        <w:t xml:space="preserve">A.1.1  </w:t>
      </w:r>
      <w:r>
        <w:rPr>
          <w:rFonts w:hint="eastAsia"/>
          <w:color w:val="auto"/>
          <w:szCs w:val="21"/>
        </w:rPr>
        <w:t>柱：毛细管柱</w:t>
      </w:r>
      <w:r>
        <w:rPr>
          <w:rFonts w:hint="eastAsia"/>
          <w:color w:val="auto"/>
          <w:szCs w:val="21"/>
          <w:lang w:eastAsia="zh-CN"/>
        </w:rPr>
        <w:t>，长</w:t>
      </w:r>
      <w:r>
        <w:rPr>
          <w:rFonts w:hint="eastAsia"/>
          <w:color w:val="auto"/>
          <w:szCs w:val="21"/>
          <w:lang w:val="en-US" w:eastAsia="zh-CN"/>
        </w:rPr>
        <w:t>30m，内径</w:t>
      </w:r>
      <w:r>
        <w:rPr>
          <w:rFonts w:hint="eastAsia" w:ascii="宋体" w:hAnsi="宋体" w:eastAsia="宋体"/>
          <w:color w:val="auto"/>
          <w:sz w:val="21"/>
          <w:szCs w:val="22"/>
        </w:rPr>
        <w:t>0.</w:t>
      </w:r>
      <w:r>
        <w:rPr>
          <w:rFonts w:hint="eastAsia" w:hAnsi="宋体"/>
          <w:color w:val="auto"/>
          <w:sz w:val="21"/>
          <w:szCs w:val="22"/>
          <w:lang w:val="en-US" w:eastAsia="zh-CN"/>
        </w:rPr>
        <w:t>25</w:t>
      </w:r>
      <w:r>
        <w:rPr>
          <w:rFonts w:hint="eastAsia" w:ascii="宋体" w:hAnsi="宋体" w:eastAsia="宋体"/>
          <w:color w:val="auto"/>
          <w:sz w:val="21"/>
          <w:szCs w:val="22"/>
        </w:rPr>
        <w:t>mm</w:t>
      </w:r>
      <w:r>
        <w:rPr>
          <w:rFonts w:hint="eastAsia"/>
          <w:color w:val="auto"/>
          <w:szCs w:val="21"/>
        </w:rPr>
        <w:t>；</w:t>
      </w:r>
    </w:p>
    <w:p>
      <w:pPr>
        <w:pStyle w:val="13"/>
        <w:spacing w:line="240" w:lineRule="auto"/>
        <w:ind w:firstLine="420" w:firstLineChars="200"/>
        <w:rPr>
          <w:rFonts w:hint="eastAsia"/>
          <w:color w:val="auto"/>
          <w:sz w:val="21"/>
          <w:szCs w:val="21"/>
        </w:rPr>
      </w:pPr>
      <w:r>
        <w:rPr>
          <w:rFonts w:hint="eastAsia"/>
          <w:color w:val="auto"/>
          <w:szCs w:val="21"/>
          <w:lang w:val="en-US" w:eastAsia="zh-CN"/>
        </w:rPr>
        <w:t xml:space="preserve">A.1.2  </w:t>
      </w:r>
      <w:r>
        <w:rPr>
          <w:rFonts w:hint="eastAsia"/>
          <w:color w:val="auto"/>
          <w:sz w:val="21"/>
          <w:szCs w:val="21"/>
        </w:rPr>
        <w:t>固定相：</w:t>
      </w:r>
      <w:r>
        <w:rPr>
          <w:rFonts w:hint="eastAsia"/>
          <w:color w:val="auto"/>
          <w:sz w:val="21"/>
          <w:szCs w:val="21"/>
          <w:lang w:eastAsia="zh-CN"/>
        </w:rPr>
        <w:t>（</w:t>
      </w:r>
      <w:r>
        <w:rPr>
          <w:rFonts w:hint="eastAsia"/>
          <w:color w:val="auto"/>
          <w:sz w:val="21"/>
          <w:szCs w:val="21"/>
          <w:lang w:val="en-US" w:eastAsia="zh-CN"/>
        </w:rPr>
        <w:t>50%苯基）-甲基聚硅氧烷</w:t>
      </w:r>
      <w:r>
        <w:rPr>
          <w:rFonts w:hint="eastAsia"/>
          <w:color w:val="auto"/>
          <w:sz w:val="21"/>
          <w:szCs w:val="21"/>
        </w:rPr>
        <w:t>；</w:t>
      </w:r>
    </w:p>
    <w:p>
      <w:pPr>
        <w:pStyle w:val="13"/>
        <w:spacing w:line="240" w:lineRule="auto"/>
        <w:ind w:firstLine="420" w:firstLineChars="200"/>
        <w:rPr>
          <w:rFonts w:hint="eastAsia" w:eastAsia="宋体"/>
          <w:color w:val="auto"/>
          <w:sz w:val="21"/>
          <w:szCs w:val="21"/>
          <w:lang w:eastAsia="zh-CN"/>
        </w:rPr>
      </w:pPr>
      <w:r>
        <w:rPr>
          <w:rFonts w:hint="eastAsia"/>
          <w:color w:val="auto"/>
          <w:szCs w:val="21"/>
          <w:lang w:val="en-US" w:eastAsia="zh-CN"/>
        </w:rPr>
        <w:t xml:space="preserve">A.1.3  </w:t>
      </w:r>
      <w:r>
        <w:rPr>
          <w:rFonts w:hint="eastAsia"/>
          <w:color w:val="auto"/>
          <w:sz w:val="21"/>
          <w:szCs w:val="21"/>
          <w:lang w:eastAsia="zh-CN"/>
        </w:rPr>
        <w:t>膜厚：</w:t>
      </w:r>
      <w:r>
        <w:rPr>
          <w:rFonts w:hint="eastAsia"/>
          <w:color w:val="auto"/>
          <w:sz w:val="21"/>
          <w:szCs w:val="21"/>
          <w:lang w:val="en-US" w:eastAsia="zh-CN"/>
        </w:rPr>
        <w:t>0.25</w:t>
      </w:r>
      <w:r>
        <w:rPr>
          <w:rFonts w:hint="eastAsia"/>
          <w:color w:val="auto"/>
          <w:sz w:val="21"/>
          <w:szCs w:val="21"/>
          <w:lang w:eastAsia="zh-CN"/>
        </w:rPr>
        <w:t>μm；</w:t>
      </w:r>
    </w:p>
    <w:p>
      <w:pPr>
        <w:pStyle w:val="13"/>
        <w:spacing w:line="240" w:lineRule="auto"/>
        <w:ind w:firstLine="420" w:firstLineChars="200"/>
        <w:rPr>
          <w:color w:val="auto"/>
          <w:szCs w:val="21"/>
        </w:rPr>
      </w:pPr>
      <w:r>
        <w:rPr>
          <w:rFonts w:hint="eastAsia"/>
          <w:color w:val="auto"/>
          <w:szCs w:val="21"/>
          <w:lang w:val="en-US" w:eastAsia="zh-CN"/>
        </w:rPr>
        <w:t xml:space="preserve">A.1.4  </w:t>
      </w:r>
      <w:r>
        <w:rPr>
          <w:rFonts w:hint="eastAsia"/>
          <w:color w:val="auto"/>
          <w:sz w:val="21"/>
          <w:szCs w:val="21"/>
          <w:lang w:val="en-US" w:eastAsia="zh-CN"/>
        </w:rPr>
        <w:t>检测器：氢火焰离子化检测器；</w:t>
      </w:r>
    </w:p>
    <w:p>
      <w:pPr>
        <w:pStyle w:val="13"/>
        <w:spacing w:line="240" w:lineRule="auto"/>
        <w:ind w:firstLine="420" w:firstLineChars="200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Cs w:val="21"/>
          <w:lang w:val="en-US" w:eastAsia="zh-CN"/>
        </w:rPr>
        <w:t xml:space="preserve">A.1.5  </w:t>
      </w:r>
      <w:r>
        <w:rPr>
          <w:rFonts w:hint="eastAsia"/>
          <w:color w:val="auto"/>
          <w:sz w:val="21"/>
          <w:szCs w:val="21"/>
          <w:lang w:val="en-US" w:eastAsia="zh-CN"/>
        </w:rPr>
        <w:t>色谱炉温度：120℃恒温；</w:t>
      </w:r>
    </w:p>
    <w:p>
      <w:pPr>
        <w:pStyle w:val="13"/>
        <w:spacing w:line="240" w:lineRule="auto"/>
        <w:ind w:firstLine="420" w:firstLineChars="200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Cs w:val="21"/>
          <w:lang w:val="en-US" w:eastAsia="zh-CN"/>
        </w:rPr>
        <w:t xml:space="preserve">A.1.6  </w:t>
      </w:r>
      <w:r>
        <w:rPr>
          <w:rFonts w:hint="eastAsia"/>
          <w:color w:val="auto"/>
          <w:sz w:val="21"/>
          <w:szCs w:val="21"/>
          <w:lang w:val="en-US" w:eastAsia="zh-CN"/>
        </w:rPr>
        <w:t>检测器温度：240℃；</w:t>
      </w:r>
    </w:p>
    <w:p>
      <w:pPr>
        <w:pStyle w:val="13"/>
        <w:spacing w:line="240" w:lineRule="auto"/>
        <w:ind w:firstLine="420" w:firstLineChars="200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Cs w:val="21"/>
          <w:lang w:val="en-US" w:eastAsia="zh-CN"/>
        </w:rPr>
        <w:t xml:space="preserve">A.1.7  </w:t>
      </w:r>
      <w:r>
        <w:rPr>
          <w:rFonts w:hint="eastAsia"/>
          <w:color w:val="auto"/>
          <w:sz w:val="21"/>
          <w:szCs w:val="21"/>
          <w:lang w:val="en-US" w:eastAsia="zh-CN"/>
        </w:rPr>
        <w:t>进样口温度：220℃；</w:t>
      </w:r>
    </w:p>
    <w:p>
      <w:pPr>
        <w:pStyle w:val="13"/>
        <w:spacing w:line="240" w:lineRule="auto"/>
        <w:ind w:firstLine="420" w:firstLineChars="200"/>
        <w:rPr>
          <w:color w:val="auto"/>
          <w:szCs w:val="21"/>
        </w:rPr>
      </w:pPr>
      <w:r>
        <w:rPr>
          <w:rFonts w:hint="eastAsia"/>
          <w:color w:val="auto"/>
          <w:szCs w:val="21"/>
          <w:lang w:val="en-US" w:eastAsia="zh-CN"/>
        </w:rPr>
        <w:t xml:space="preserve">A.1.8  </w:t>
      </w:r>
      <w:r>
        <w:rPr>
          <w:rFonts w:hint="eastAsia"/>
          <w:color w:val="auto"/>
          <w:szCs w:val="21"/>
        </w:rPr>
        <w:t>载气：</w:t>
      </w:r>
      <w:r>
        <w:rPr>
          <w:rFonts w:hint="eastAsia"/>
          <w:color w:val="auto"/>
          <w:szCs w:val="21"/>
          <w:lang w:eastAsia="zh-CN"/>
        </w:rPr>
        <w:t>氮气。</w:t>
      </w:r>
      <w:r>
        <w:rPr>
          <w:color w:val="auto"/>
          <w:sz w:val="21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2190750</wp:posOffset>
                </wp:positionH>
                <wp:positionV relativeFrom="paragraph">
                  <wp:posOffset>6452235</wp:posOffset>
                </wp:positionV>
                <wp:extent cx="1609090" cy="416560"/>
                <wp:effectExtent l="3175" t="7620" r="26035" b="13970"/>
                <wp:wrapNone/>
                <wp:docPr id="1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9090" cy="416560"/>
                          <a:chOff x="7021" y="113182"/>
                          <a:chExt cx="2534" cy="656"/>
                        </a:xfrm>
                      </wpg:grpSpPr>
                      <wps:wsp>
                        <wps:cNvPr id="3" name="文本框 10"/>
                        <wps:cNvSpPr txBox="1"/>
                        <wps:spPr>
                          <a:xfrm>
                            <a:off x="7951" y="113182"/>
                            <a:ext cx="1605" cy="58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FFFFFF"/>
                              </a:gs>
                            </a:gsLst>
                            <a:lin ang="0"/>
                            <a:tileRect/>
                          </a:gradFill>
                          <a:ln w="1587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异戊二醇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自选图形 11"/>
                        <wps:cNvCnPr/>
                        <wps:spPr>
                          <a:xfrm flipV="1">
                            <a:off x="7021" y="113494"/>
                            <a:ext cx="720" cy="345"/>
                          </a:xfrm>
                          <a:prstGeom prst="straightConnector1">
                            <a:avLst/>
                          </a:prstGeom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72.5pt;margin-top:508.05pt;height:32.8pt;width:126.7pt;z-index:251669504;mso-width-relative:page;mso-height-relative:page;" coordorigin="7021,113182" coordsize="2534,656" o:gfxdata="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">
                <o:lock v:ext="edit" aspectratio="f"/>
                <v:shape id="文本框 10" o:spid="_x0000_s1026" o:spt="202" type="#_x0000_t202" style="position:absolute;left:7951;top:113182;height:585;width:1605;" fillcolor="#FFFFFF" filled="t" stroked="t" coordsize="21600,21600" o:gfxdata="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MxT2y/&#10;AAAA2gAAAA8AAAAAAAAAAQAgAAAAIgAAAGRycy9kb3ducmV2LnhtbFBLAQIUABQAAAAIAIdO4kAz&#10;LwWeOwAAADkAAAAQAAAAAAAAAAEAIAAAAA4BAABkcnMvc2hhcGV4bWwueG1sUEsFBgAAAAAGAAYA&#10;WwEAALgDAAAAAA==&#10;">
                  <v:fill type="gradient" on="t" color2="#FFFFFF" angle="90" focus="100%" focussize="0,0">
                    <o:fill type="gradientUnscaled" v:ext="backwardCompatible"/>
                  </v:fill>
                  <v:stroke weight="1.25pt" color="#FFFFFF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  <w:lang w:val="en-US" w:eastAsia="zh-CN"/>
                          </w:rPr>
                          <w:t>异戊二醇</w:t>
                        </w:r>
                      </w:p>
                    </w:txbxContent>
                  </v:textbox>
                </v:shape>
                <v:shape id="自选图形 11" o:spid="_x0000_s1026" o:spt="32" type="#_x0000_t32" style="position:absolute;left:7021;top:113494;flip:y;height:345;width:720;" filled="f" stroked="t" coordsize="21600,21600" o:gfxdata="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Br6v+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.25pt" color="#000000" joinstyle="round" endarrow="block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pStyle w:val="24"/>
        <w:ind w:firstLine="0" w:firstLineChars="0"/>
        <w:rPr>
          <w:rFonts w:ascii="黑体" w:eastAsia="黑体"/>
          <w:color w:val="auto"/>
        </w:rPr>
      </w:pPr>
    </w:p>
    <w:p>
      <w:pPr>
        <w:pStyle w:val="24"/>
        <w:ind w:firstLine="0" w:firstLineChars="0"/>
        <w:jc w:val="left"/>
        <w:rPr>
          <w:rFonts w:hint="eastAsia" w:ascii="黑体" w:eastAsia="黑体"/>
          <w:color w:val="auto"/>
          <w:szCs w:val="21"/>
        </w:rPr>
      </w:pPr>
      <w:r>
        <w:rPr>
          <w:rFonts w:hint="eastAsia" w:ascii="黑体" w:eastAsia="黑体"/>
          <w:color w:val="auto"/>
        </w:rPr>
        <w:t xml:space="preserve">A.2  </w:t>
      </w:r>
      <w:r>
        <w:rPr>
          <w:rFonts w:hint="eastAsia" w:ascii="黑体" w:hAnsi="黑体" w:eastAsia="黑体"/>
          <w:color w:val="auto"/>
          <w:szCs w:val="21"/>
          <w:lang w:eastAsia="zh-CN"/>
        </w:rPr>
        <w:t>异戊二醇</w:t>
      </w:r>
      <w:r>
        <w:rPr>
          <w:rFonts w:hint="eastAsia" w:ascii="黑体" w:eastAsia="黑体"/>
          <w:color w:val="auto"/>
          <w:szCs w:val="21"/>
        </w:rPr>
        <w:t>典型气相色谱图，见图A.1。</w:t>
      </w:r>
    </w:p>
    <w:p>
      <w:pPr>
        <w:pStyle w:val="24"/>
        <w:ind w:firstLine="0" w:firstLineChars="0"/>
        <w:jc w:val="center"/>
        <w:rPr>
          <w:rFonts w:hint="eastAsia" w:ascii="黑体" w:eastAsia="黑体"/>
          <w:color w:val="auto"/>
          <w:szCs w:val="21"/>
        </w:rPr>
      </w:pP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1390650</wp:posOffset>
                </wp:positionH>
                <wp:positionV relativeFrom="paragraph">
                  <wp:posOffset>638175</wp:posOffset>
                </wp:positionV>
                <wp:extent cx="1019175" cy="371475"/>
                <wp:effectExtent l="7620" t="7620" r="20955" b="20955"/>
                <wp:wrapNone/>
                <wp:docPr id="14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3714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异戊二醇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0" o:spid="_x0000_s1026" o:spt="202" type="#_x0000_t202" style="position:absolute;left:0pt;margin-left:109.5pt;margin-top:50.25pt;height:29.25pt;width:80.25pt;z-index:251691008;mso-width-relative:page;mso-height-relative:page;" fillcolor="#FFFFFF" filled="t" stroked="t" coordsize="21600,21600" o:gfxdata="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AAPstTZAAAACwEAAA8AAAAAAAAAAQAgAAAAIgAAAGRycy9kb3ducmV2LnhtbFBLAQIUABQAAAAI&#10;AIdO4kC+BPMBJQIAAHIEAAAOAAAAAAAAAAEAIAAAACgBAABkcnMvZTJvRG9jLnhtbFBLBQYAAAAA&#10;BgAGAFkBAAC/BQAAAAA=&#10;">
                <v:fill type="gradient" on="t" color2="#FFFFFF" angle="90" focus="100%" focussize="0,0">
                  <o:fill type="gradientUnscaled" v:ext="backwardCompatible"/>
                </v:fill>
                <v:stroke weight="1.25pt" color="#FFFFFF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lang w:val="en-US" w:eastAsia="zh-CN"/>
                        </w:rPr>
                        <w:t>异戊二醇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</w:rPr>
        <w:drawing>
          <wp:inline distT="0" distB="0" distL="114300" distR="114300">
            <wp:extent cx="5757545" cy="2614295"/>
            <wp:effectExtent l="0" t="0" r="14605" b="14605"/>
            <wp:docPr id="1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7545" cy="26142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4"/>
        <w:jc w:val="center"/>
        <w:rPr>
          <w:color w:val="auto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2017395</wp:posOffset>
                </wp:positionH>
                <wp:positionV relativeFrom="paragraph">
                  <wp:posOffset>489585</wp:posOffset>
                </wp:positionV>
                <wp:extent cx="2209800" cy="0"/>
                <wp:effectExtent l="0" t="0" r="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018155" y="8145145"/>
                          <a:ext cx="22098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8.85pt;margin-top:38.55pt;height:0pt;width:174pt;z-index:251692032;mso-width-relative:page;mso-height-relative:page;" filled="f" stroked="t" coordsize="21600,21600" o:gfxdata="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LRZeqHWAAAACQEAAA8AAAAAAAAAAQAgAAAAIgAAAGRycy9k&#10;b3ducmV2LnhtbFBLAQIUABQAAAAIAIdO4kBdZ7LuywEAAFoDAAAOAAAAAAAAAAEAIAAAACUBAABk&#10;cnMvZTJvRG9jLnhtbFBLBQYAAAAABgAGAFkBAABiBQAAAAA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color w:val="auto"/>
        </w:rPr>
        <w:t xml:space="preserve">图A.1  </w:t>
      </w:r>
      <w:r>
        <w:rPr>
          <w:rFonts w:hint="eastAsia" w:asciiTheme="minorEastAsia" w:hAnsiTheme="minorEastAsia" w:eastAsiaTheme="minorEastAsia"/>
          <w:color w:val="auto"/>
          <w:szCs w:val="21"/>
          <w:lang w:eastAsia="zh-CN"/>
        </w:rPr>
        <w:t>异戊二醇</w:t>
      </w:r>
      <w:r>
        <w:rPr>
          <w:rFonts w:hint="eastAsia"/>
          <w:color w:val="auto"/>
          <w:szCs w:val="21"/>
        </w:rPr>
        <w:t>典型气相色谱图</w:t>
      </w:r>
    </w:p>
    <w:p>
      <w:pPr>
        <w:pStyle w:val="128"/>
        <w:jc w:val="center"/>
        <w:rPr>
          <w:color w:val="auto"/>
        </w:rPr>
      </w:pPr>
    </w:p>
    <w:sectPr>
      <w:pgSz w:w="11906" w:h="16838"/>
      <w:pgMar w:top="567" w:right="1134" w:bottom="1134" w:left="1418" w:header="1418" w:footer="1134" w:gutter="0"/>
      <w:pgNumType w:start="1"/>
      <w:cols w:space="425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2"/>
    </w:pPr>
    <w:r>
      <w:fldChar w:fldCharType="begin"/>
    </w:r>
    <w:r>
      <w:instrText xml:space="preserve"> PAGE  \* MERGEFORMAT </w:instrText>
    </w:r>
    <w:r>
      <w:fldChar w:fldCharType="separate"/>
    </w:r>
    <w:r>
      <w:t>I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3"/>
    </w:pPr>
    <w:r>
      <w:rPr>
        <w:rFonts w:hint="eastAsia"/>
      </w:rPr>
      <w:t>T</w:t>
    </w:r>
    <w:r>
      <w:t>/</w:t>
    </w:r>
    <w:r>
      <w:rPr>
        <w:rFonts w:hint="eastAsia"/>
      </w:rPr>
      <w:t>CAFFCI</w:t>
    </w:r>
    <w:r>
      <w:t xml:space="preserve"> </w:t>
    </w:r>
    <w:r>
      <w:rPr>
        <w:rFonts w:hint="eastAsia"/>
      </w:rPr>
      <w:t>XXXX</w:t>
    </w:r>
    <w:r>
      <w:t>—</w:t>
    </w:r>
    <w:r>
      <w:rPr>
        <w:rFonts w:hint="eastAsia"/>
      </w:rPr>
      <w:t>XXXX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F583A"/>
    <w:multiLevelType w:val="multilevel"/>
    <w:tmpl w:val="1DBF583A"/>
    <w:lvl w:ilvl="0" w:tentative="0">
      <w:start w:val="1"/>
      <w:numFmt w:val="decimal"/>
      <w:pStyle w:val="64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 w:tentative="0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1">
    <w:nsid w:val="1FC91163"/>
    <w:multiLevelType w:val="multilevel"/>
    <w:tmpl w:val="1FC91163"/>
    <w:lvl w:ilvl="0" w:tentative="0">
      <w:start w:val="1"/>
      <w:numFmt w:val="decimal"/>
      <w:pStyle w:val="44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41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45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50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54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55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2A8F7113"/>
    <w:multiLevelType w:val="multilevel"/>
    <w:tmpl w:val="2A8F7113"/>
    <w:lvl w:ilvl="0" w:tentative="0">
      <w:start w:val="1"/>
      <w:numFmt w:val="upperLetter"/>
      <w:pStyle w:val="97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98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3">
    <w:nsid w:val="2C5917C3"/>
    <w:multiLevelType w:val="multilevel"/>
    <w:tmpl w:val="2C5917C3"/>
    <w:lvl w:ilvl="0" w:tentative="0">
      <w:start w:val="1"/>
      <w:numFmt w:val="none"/>
      <w:pStyle w:val="47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0">
      <w:start w:val="1"/>
      <w:numFmt w:val="bullet"/>
      <w:pStyle w:val="48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pStyle w:val="59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4">
    <w:nsid w:val="364668BF"/>
    <w:multiLevelType w:val="multilevel"/>
    <w:tmpl w:val="364668BF"/>
    <w:lvl w:ilvl="0" w:tentative="0">
      <w:start w:val="7"/>
      <w:numFmt w:val="decimal"/>
      <w:lvlText w:val="%1"/>
      <w:lvlJc w:val="left"/>
      <w:pPr>
        <w:tabs>
          <w:tab w:val="left" w:pos="525"/>
        </w:tabs>
        <w:ind w:left="525" w:hanging="525"/>
      </w:pPr>
      <w:rPr>
        <w:rFonts w:hint="default"/>
      </w:rPr>
    </w:lvl>
    <w:lvl w:ilvl="1" w:tentative="0">
      <w:start w:val="2"/>
      <w:numFmt w:val="decimal"/>
      <w:lvlText w:val="%1.%2"/>
      <w:lvlJc w:val="left"/>
      <w:pPr>
        <w:tabs>
          <w:tab w:val="left" w:pos="525"/>
        </w:tabs>
        <w:ind w:left="525" w:hanging="5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>
    <w:nsid w:val="3D733618"/>
    <w:multiLevelType w:val="multilevel"/>
    <w:tmpl w:val="3D733618"/>
    <w:lvl w:ilvl="0" w:tentative="0">
      <w:start w:val="1"/>
      <w:numFmt w:val="decimal"/>
      <w:pStyle w:val="25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6">
    <w:nsid w:val="44C50F90"/>
    <w:multiLevelType w:val="multilevel"/>
    <w:tmpl w:val="44C50F90"/>
    <w:lvl w:ilvl="0" w:tentative="0">
      <w:start w:val="1"/>
      <w:numFmt w:val="lowerLetter"/>
      <w:pStyle w:val="58"/>
      <w:lvlText w:val="%1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pStyle w:val="53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0">
      <w:start w:val="1"/>
      <w:numFmt w:val="decimal"/>
      <w:pStyle w:val="60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7">
    <w:nsid w:val="60B55DC2"/>
    <w:multiLevelType w:val="multilevel"/>
    <w:tmpl w:val="60B55DC2"/>
    <w:lvl w:ilvl="0" w:tentative="0">
      <w:start w:val="1"/>
      <w:numFmt w:val="upperLetter"/>
      <w:pStyle w:val="85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86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8">
    <w:nsid w:val="657D3FBC"/>
    <w:multiLevelType w:val="multilevel"/>
    <w:tmpl w:val="657D3FBC"/>
    <w:lvl w:ilvl="0" w:tentative="0">
      <w:start w:val="1"/>
      <w:numFmt w:val="upperLetter"/>
      <w:pStyle w:val="83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pStyle w:val="101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102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87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92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95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99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>
    <w:nsid w:val="6D6C07CD"/>
    <w:multiLevelType w:val="multilevel"/>
    <w:tmpl w:val="6D6C07CD"/>
    <w:lvl w:ilvl="0" w:tentative="0">
      <w:start w:val="1"/>
      <w:numFmt w:val="lowerLetter"/>
      <w:pStyle w:val="104"/>
      <w:lvlText w:val="%1)"/>
      <w:lvlJc w:val="left"/>
      <w:pPr>
        <w:tabs>
          <w:tab w:val="left" w:pos="839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1" w:tentative="0">
      <w:start w:val="1"/>
      <w:numFmt w:val="decimal"/>
      <w:pStyle w:val="94"/>
      <w:lvlText w:val="%2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9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attachedTemplate r:id="rId1"/>
  <w:documentProtection w:enforcement="0"/>
  <w:defaultTabStop w:val="420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F79"/>
    <w:rsid w:val="0000009A"/>
    <w:rsid w:val="00000244"/>
    <w:rsid w:val="0000185F"/>
    <w:rsid w:val="0000586F"/>
    <w:rsid w:val="00006037"/>
    <w:rsid w:val="00013D86"/>
    <w:rsid w:val="00013E02"/>
    <w:rsid w:val="0002143C"/>
    <w:rsid w:val="00025A65"/>
    <w:rsid w:val="00026C31"/>
    <w:rsid w:val="00027280"/>
    <w:rsid w:val="000303E8"/>
    <w:rsid w:val="000316C4"/>
    <w:rsid w:val="000320A7"/>
    <w:rsid w:val="00032384"/>
    <w:rsid w:val="00033D6F"/>
    <w:rsid w:val="0003461D"/>
    <w:rsid w:val="00035925"/>
    <w:rsid w:val="00053524"/>
    <w:rsid w:val="00067CDF"/>
    <w:rsid w:val="00074FBE"/>
    <w:rsid w:val="000814F5"/>
    <w:rsid w:val="00081568"/>
    <w:rsid w:val="00083A09"/>
    <w:rsid w:val="0008495A"/>
    <w:rsid w:val="00085864"/>
    <w:rsid w:val="0009005E"/>
    <w:rsid w:val="00092412"/>
    <w:rsid w:val="00092857"/>
    <w:rsid w:val="000A06B8"/>
    <w:rsid w:val="000A20A9"/>
    <w:rsid w:val="000A2CFD"/>
    <w:rsid w:val="000A41D9"/>
    <w:rsid w:val="000A48B1"/>
    <w:rsid w:val="000A6098"/>
    <w:rsid w:val="000B3143"/>
    <w:rsid w:val="000B3317"/>
    <w:rsid w:val="000C27A6"/>
    <w:rsid w:val="000C569A"/>
    <w:rsid w:val="000C6B05"/>
    <w:rsid w:val="000C6DD6"/>
    <w:rsid w:val="000C73D4"/>
    <w:rsid w:val="000D1999"/>
    <w:rsid w:val="000D3D4C"/>
    <w:rsid w:val="000D4F51"/>
    <w:rsid w:val="000D6CA6"/>
    <w:rsid w:val="000D718B"/>
    <w:rsid w:val="000E0BDE"/>
    <w:rsid w:val="000E0C46"/>
    <w:rsid w:val="000F030C"/>
    <w:rsid w:val="000F129C"/>
    <w:rsid w:val="000F6A65"/>
    <w:rsid w:val="00100217"/>
    <w:rsid w:val="00100A67"/>
    <w:rsid w:val="001056DE"/>
    <w:rsid w:val="001124C0"/>
    <w:rsid w:val="001267EF"/>
    <w:rsid w:val="00127086"/>
    <w:rsid w:val="0013175F"/>
    <w:rsid w:val="00134F27"/>
    <w:rsid w:val="001512B4"/>
    <w:rsid w:val="001620A5"/>
    <w:rsid w:val="001622C6"/>
    <w:rsid w:val="00164E53"/>
    <w:rsid w:val="001664A9"/>
    <w:rsid w:val="0016699D"/>
    <w:rsid w:val="00171486"/>
    <w:rsid w:val="00175159"/>
    <w:rsid w:val="00176208"/>
    <w:rsid w:val="0018211B"/>
    <w:rsid w:val="00182AF8"/>
    <w:rsid w:val="001840D3"/>
    <w:rsid w:val="00184F6E"/>
    <w:rsid w:val="001900F8"/>
    <w:rsid w:val="00191258"/>
    <w:rsid w:val="0019173E"/>
    <w:rsid w:val="00192680"/>
    <w:rsid w:val="00193037"/>
    <w:rsid w:val="00193A2C"/>
    <w:rsid w:val="001978C5"/>
    <w:rsid w:val="001A288E"/>
    <w:rsid w:val="001A4CCA"/>
    <w:rsid w:val="001A6352"/>
    <w:rsid w:val="001B13CF"/>
    <w:rsid w:val="001B6DC2"/>
    <w:rsid w:val="001C149C"/>
    <w:rsid w:val="001C21AC"/>
    <w:rsid w:val="001C47BA"/>
    <w:rsid w:val="001C59EA"/>
    <w:rsid w:val="001C6E98"/>
    <w:rsid w:val="001D406C"/>
    <w:rsid w:val="001D41EE"/>
    <w:rsid w:val="001E0380"/>
    <w:rsid w:val="001E13B1"/>
    <w:rsid w:val="001F3A19"/>
    <w:rsid w:val="00214CEA"/>
    <w:rsid w:val="00234467"/>
    <w:rsid w:val="00234865"/>
    <w:rsid w:val="00237D8D"/>
    <w:rsid w:val="00241DA2"/>
    <w:rsid w:val="00245FA0"/>
    <w:rsid w:val="00247FEE"/>
    <w:rsid w:val="00250E7D"/>
    <w:rsid w:val="002565D5"/>
    <w:rsid w:val="002622C0"/>
    <w:rsid w:val="002778AE"/>
    <w:rsid w:val="0028269A"/>
    <w:rsid w:val="00283590"/>
    <w:rsid w:val="00284133"/>
    <w:rsid w:val="00286973"/>
    <w:rsid w:val="00293D8F"/>
    <w:rsid w:val="0029406B"/>
    <w:rsid w:val="00294E70"/>
    <w:rsid w:val="002A1924"/>
    <w:rsid w:val="002A7420"/>
    <w:rsid w:val="002B0F12"/>
    <w:rsid w:val="002B1308"/>
    <w:rsid w:val="002B4554"/>
    <w:rsid w:val="002C0DD0"/>
    <w:rsid w:val="002C37FB"/>
    <w:rsid w:val="002C72D8"/>
    <w:rsid w:val="002D11FA"/>
    <w:rsid w:val="002E0DDF"/>
    <w:rsid w:val="002E2906"/>
    <w:rsid w:val="002E5635"/>
    <w:rsid w:val="002E64C3"/>
    <w:rsid w:val="002E6A2C"/>
    <w:rsid w:val="002F0DC5"/>
    <w:rsid w:val="002F1D46"/>
    <w:rsid w:val="002F1D8C"/>
    <w:rsid w:val="002F21DA"/>
    <w:rsid w:val="00301F39"/>
    <w:rsid w:val="00325926"/>
    <w:rsid w:val="00327A8A"/>
    <w:rsid w:val="00336610"/>
    <w:rsid w:val="0033768F"/>
    <w:rsid w:val="00343F73"/>
    <w:rsid w:val="00345060"/>
    <w:rsid w:val="00350F6F"/>
    <w:rsid w:val="0035323B"/>
    <w:rsid w:val="00357E28"/>
    <w:rsid w:val="003609D2"/>
    <w:rsid w:val="00363F22"/>
    <w:rsid w:val="0036643D"/>
    <w:rsid w:val="0037415F"/>
    <w:rsid w:val="00375564"/>
    <w:rsid w:val="00383191"/>
    <w:rsid w:val="00386DED"/>
    <w:rsid w:val="00386FDD"/>
    <w:rsid w:val="003912E7"/>
    <w:rsid w:val="00393947"/>
    <w:rsid w:val="00394325"/>
    <w:rsid w:val="003966A9"/>
    <w:rsid w:val="003A2275"/>
    <w:rsid w:val="003A6A4F"/>
    <w:rsid w:val="003A7088"/>
    <w:rsid w:val="003B00DF"/>
    <w:rsid w:val="003B1275"/>
    <w:rsid w:val="003B1778"/>
    <w:rsid w:val="003B37BE"/>
    <w:rsid w:val="003B584C"/>
    <w:rsid w:val="003C11CB"/>
    <w:rsid w:val="003C75F3"/>
    <w:rsid w:val="003C78A3"/>
    <w:rsid w:val="003D3403"/>
    <w:rsid w:val="003E1867"/>
    <w:rsid w:val="003E1D57"/>
    <w:rsid w:val="003E5729"/>
    <w:rsid w:val="003E6C49"/>
    <w:rsid w:val="003E782F"/>
    <w:rsid w:val="003F4EE0"/>
    <w:rsid w:val="003F50DB"/>
    <w:rsid w:val="00402153"/>
    <w:rsid w:val="00402FC1"/>
    <w:rsid w:val="00412659"/>
    <w:rsid w:val="00425082"/>
    <w:rsid w:val="004319B9"/>
    <w:rsid w:val="00431DEB"/>
    <w:rsid w:val="00441419"/>
    <w:rsid w:val="00446B29"/>
    <w:rsid w:val="00452B42"/>
    <w:rsid w:val="00453F9A"/>
    <w:rsid w:val="00455303"/>
    <w:rsid w:val="00456C95"/>
    <w:rsid w:val="00460A2B"/>
    <w:rsid w:val="004662C9"/>
    <w:rsid w:val="00471E91"/>
    <w:rsid w:val="00474675"/>
    <w:rsid w:val="0047470C"/>
    <w:rsid w:val="004A2BEB"/>
    <w:rsid w:val="004A35F9"/>
    <w:rsid w:val="004A3FFB"/>
    <w:rsid w:val="004B24C1"/>
    <w:rsid w:val="004B7626"/>
    <w:rsid w:val="004C292F"/>
    <w:rsid w:val="004E3073"/>
    <w:rsid w:val="004F062F"/>
    <w:rsid w:val="004F1F5A"/>
    <w:rsid w:val="004F37F0"/>
    <w:rsid w:val="004F6380"/>
    <w:rsid w:val="005019C6"/>
    <w:rsid w:val="00505536"/>
    <w:rsid w:val="00505AB8"/>
    <w:rsid w:val="00510280"/>
    <w:rsid w:val="00513D73"/>
    <w:rsid w:val="00514A43"/>
    <w:rsid w:val="00514D23"/>
    <w:rsid w:val="005174E5"/>
    <w:rsid w:val="00522393"/>
    <w:rsid w:val="00522620"/>
    <w:rsid w:val="00525656"/>
    <w:rsid w:val="00527EC3"/>
    <w:rsid w:val="00531FC7"/>
    <w:rsid w:val="00534C02"/>
    <w:rsid w:val="005350E8"/>
    <w:rsid w:val="0054264B"/>
    <w:rsid w:val="00543549"/>
    <w:rsid w:val="00543786"/>
    <w:rsid w:val="005533D7"/>
    <w:rsid w:val="005703DE"/>
    <w:rsid w:val="00581702"/>
    <w:rsid w:val="0058464E"/>
    <w:rsid w:val="0058485A"/>
    <w:rsid w:val="005A01CB"/>
    <w:rsid w:val="005A58FF"/>
    <w:rsid w:val="005A5EAF"/>
    <w:rsid w:val="005A64C0"/>
    <w:rsid w:val="005B3C11"/>
    <w:rsid w:val="005C1C28"/>
    <w:rsid w:val="005C6DB5"/>
    <w:rsid w:val="005E19E7"/>
    <w:rsid w:val="005E5B36"/>
    <w:rsid w:val="005F531C"/>
    <w:rsid w:val="0061716C"/>
    <w:rsid w:val="006243A1"/>
    <w:rsid w:val="006308C4"/>
    <w:rsid w:val="006326DE"/>
    <w:rsid w:val="00632E56"/>
    <w:rsid w:val="00635CBA"/>
    <w:rsid w:val="00641D33"/>
    <w:rsid w:val="0064338B"/>
    <w:rsid w:val="00643680"/>
    <w:rsid w:val="00646542"/>
    <w:rsid w:val="006504F4"/>
    <w:rsid w:val="00654368"/>
    <w:rsid w:val="00654BC9"/>
    <w:rsid w:val="006552FD"/>
    <w:rsid w:val="00663AF3"/>
    <w:rsid w:val="00666B6C"/>
    <w:rsid w:val="00682682"/>
    <w:rsid w:val="00682702"/>
    <w:rsid w:val="00692368"/>
    <w:rsid w:val="00697472"/>
    <w:rsid w:val="006A2EBC"/>
    <w:rsid w:val="006A5EA0"/>
    <w:rsid w:val="006A646D"/>
    <w:rsid w:val="006A783B"/>
    <w:rsid w:val="006A7B33"/>
    <w:rsid w:val="006B078E"/>
    <w:rsid w:val="006B4E13"/>
    <w:rsid w:val="006B75DD"/>
    <w:rsid w:val="006C67E0"/>
    <w:rsid w:val="006C7ABA"/>
    <w:rsid w:val="006C7FBA"/>
    <w:rsid w:val="006D0D60"/>
    <w:rsid w:val="006D1122"/>
    <w:rsid w:val="006D3C00"/>
    <w:rsid w:val="006E3675"/>
    <w:rsid w:val="006E39D2"/>
    <w:rsid w:val="006E4A7F"/>
    <w:rsid w:val="006E4C7A"/>
    <w:rsid w:val="006F014E"/>
    <w:rsid w:val="006F4ED5"/>
    <w:rsid w:val="006F7691"/>
    <w:rsid w:val="00704DF6"/>
    <w:rsid w:val="0070651C"/>
    <w:rsid w:val="007132A3"/>
    <w:rsid w:val="00716421"/>
    <w:rsid w:val="007218BF"/>
    <w:rsid w:val="00724EFB"/>
    <w:rsid w:val="0073089F"/>
    <w:rsid w:val="00731C17"/>
    <w:rsid w:val="007419C3"/>
    <w:rsid w:val="00741CFC"/>
    <w:rsid w:val="00745CB1"/>
    <w:rsid w:val="007467A7"/>
    <w:rsid w:val="007469DD"/>
    <w:rsid w:val="0074741B"/>
    <w:rsid w:val="0074759E"/>
    <w:rsid w:val="007478EA"/>
    <w:rsid w:val="0075415C"/>
    <w:rsid w:val="00756E6E"/>
    <w:rsid w:val="00761193"/>
    <w:rsid w:val="00763502"/>
    <w:rsid w:val="0077116A"/>
    <w:rsid w:val="007750E7"/>
    <w:rsid w:val="007913AB"/>
    <w:rsid w:val="007914F7"/>
    <w:rsid w:val="00791F52"/>
    <w:rsid w:val="007A78DD"/>
    <w:rsid w:val="007A7B5F"/>
    <w:rsid w:val="007B1625"/>
    <w:rsid w:val="007B301D"/>
    <w:rsid w:val="007B706E"/>
    <w:rsid w:val="007B71EB"/>
    <w:rsid w:val="007C6205"/>
    <w:rsid w:val="007C686A"/>
    <w:rsid w:val="007C728E"/>
    <w:rsid w:val="007D0F79"/>
    <w:rsid w:val="007D2C53"/>
    <w:rsid w:val="007D3D60"/>
    <w:rsid w:val="007E1980"/>
    <w:rsid w:val="007E27D9"/>
    <w:rsid w:val="007E3114"/>
    <w:rsid w:val="007E3628"/>
    <w:rsid w:val="007E4B76"/>
    <w:rsid w:val="007E5EA8"/>
    <w:rsid w:val="007F0CF1"/>
    <w:rsid w:val="007F12A5"/>
    <w:rsid w:val="007F4CF1"/>
    <w:rsid w:val="007F758D"/>
    <w:rsid w:val="007F7D52"/>
    <w:rsid w:val="0080654C"/>
    <w:rsid w:val="008071C6"/>
    <w:rsid w:val="0080750C"/>
    <w:rsid w:val="00817A00"/>
    <w:rsid w:val="00835DB3"/>
    <w:rsid w:val="0083617B"/>
    <w:rsid w:val="008371BD"/>
    <w:rsid w:val="008504A8"/>
    <w:rsid w:val="0085282E"/>
    <w:rsid w:val="008603E1"/>
    <w:rsid w:val="008629DA"/>
    <w:rsid w:val="0087198C"/>
    <w:rsid w:val="00872C1F"/>
    <w:rsid w:val="00873B42"/>
    <w:rsid w:val="00874BA2"/>
    <w:rsid w:val="008845C7"/>
    <w:rsid w:val="008856D8"/>
    <w:rsid w:val="00892E82"/>
    <w:rsid w:val="008946F4"/>
    <w:rsid w:val="008A62D9"/>
    <w:rsid w:val="008A7A79"/>
    <w:rsid w:val="008C068E"/>
    <w:rsid w:val="008C1B58"/>
    <w:rsid w:val="008C2B6C"/>
    <w:rsid w:val="008C39AE"/>
    <w:rsid w:val="008C590D"/>
    <w:rsid w:val="008D1DA2"/>
    <w:rsid w:val="008E031B"/>
    <w:rsid w:val="008E2D58"/>
    <w:rsid w:val="008E7029"/>
    <w:rsid w:val="008E7EF6"/>
    <w:rsid w:val="008F1F98"/>
    <w:rsid w:val="008F6758"/>
    <w:rsid w:val="009040DD"/>
    <w:rsid w:val="00905B47"/>
    <w:rsid w:val="00911E36"/>
    <w:rsid w:val="0091331C"/>
    <w:rsid w:val="009279DE"/>
    <w:rsid w:val="00930116"/>
    <w:rsid w:val="009309D4"/>
    <w:rsid w:val="00935B89"/>
    <w:rsid w:val="0094212C"/>
    <w:rsid w:val="00947A6A"/>
    <w:rsid w:val="00954689"/>
    <w:rsid w:val="009617C9"/>
    <w:rsid w:val="00961C93"/>
    <w:rsid w:val="00965324"/>
    <w:rsid w:val="0097091E"/>
    <w:rsid w:val="009760D3"/>
    <w:rsid w:val="00977132"/>
    <w:rsid w:val="0098090F"/>
    <w:rsid w:val="00981A4B"/>
    <w:rsid w:val="00982501"/>
    <w:rsid w:val="00982AEB"/>
    <w:rsid w:val="00984F76"/>
    <w:rsid w:val="009877D3"/>
    <w:rsid w:val="0099151D"/>
    <w:rsid w:val="00994E8F"/>
    <w:rsid w:val="009951DC"/>
    <w:rsid w:val="009959BB"/>
    <w:rsid w:val="00997158"/>
    <w:rsid w:val="009A3A7C"/>
    <w:rsid w:val="009B2ADB"/>
    <w:rsid w:val="009B603A"/>
    <w:rsid w:val="009B7638"/>
    <w:rsid w:val="009C2D0E"/>
    <w:rsid w:val="009C3DAC"/>
    <w:rsid w:val="009C42E0"/>
    <w:rsid w:val="009D1E19"/>
    <w:rsid w:val="009D2BE3"/>
    <w:rsid w:val="009D5362"/>
    <w:rsid w:val="009D757A"/>
    <w:rsid w:val="009E1415"/>
    <w:rsid w:val="009E6116"/>
    <w:rsid w:val="009F1285"/>
    <w:rsid w:val="00A02E43"/>
    <w:rsid w:val="00A065F9"/>
    <w:rsid w:val="00A07F34"/>
    <w:rsid w:val="00A11655"/>
    <w:rsid w:val="00A14ACE"/>
    <w:rsid w:val="00A22154"/>
    <w:rsid w:val="00A25C38"/>
    <w:rsid w:val="00A31504"/>
    <w:rsid w:val="00A36BBE"/>
    <w:rsid w:val="00A414AF"/>
    <w:rsid w:val="00A4307A"/>
    <w:rsid w:val="00A43F28"/>
    <w:rsid w:val="00A46D5F"/>
    <w:rsid w:val="00A47EBB"/>
    <w:rsid w:val="00A51CDD"/>
    <w:rsid w:val="00A55796"/>
    <w:rsid w:val="00A64F03"/>
    <w:rsid w:val="00A6730D"/>
    <w:rsid w:val="00A71625"/>
    <w:rsid w:val="00A71B9B"/>
    <w:rsid w:val="00A751C7"/>
    <w:rsid w:val="00A82E98"/>
    <w:rsid w:val="00A87844"/>
    <w:rsid w:val="00AA038C"/>
    <w:rsid w:val="00AA0F85"/>
    <w:rsid w:val="00AA7A09"/>
    <w:rsid w:val="00AB3B50"/>
    <w:rsid w:val="00AB5BC6"/>
    <w:rsid w:val="00AB7139"/>
    <w:rsid w:val="00AB748B"/>
    <w:rsid w:val="00AC05B1"/>
    <w:rsid w:val="00AD1744"/>
    <w:rsid w:val="00AD356C"/>
    <w:rsid w:val="00AD493F"/>
    <w:rsid w:val="00AE0480"/>
    <w:rsid w:val="00AE2914"/>
    <w:rsid w:val="00AE3A85"/>
    <w:rsid w:val="00AE6D15"/>
    <w:rsid w:val="00AF362E"/>
    <w:rsid w:val="00AF62D3"/>
    <w:rsid w:val="00AF696B"/>
    <w:rsid w:val="00B0277A"/>
    <w:rsid w:val="00B039B8"/>
    <w:rsid w:val="00B04182"/>
    <w:rsid w:val="00B06FD4"/>
    <w:rsid w:val="00B07AE3"/>
    <w:rsid w:val="00B1046E"/>
    <w:rsid w:val="00B11430"/>
    <w:rsid w:val="00B248B0"/>
    <w:rsid w:val="00B24BAD"/>
    <w:rsid w:val="00B32666"/>
    <w:rsid w:val="00B353EB"/>
    <w:rsid w:val="00B439C4"/>
    <w:rsid w:val="00B44CD6"/>
    <w:rsid w:val="00B4535E"/>
    <w:rsid w:val="00B52851"/>
    <w:rsid w:val="00B52A8C"/>
    <w:rsid w:val="00B636A8"/>
    <w:rsid w:val="00B64507"/>
    <w:rsid w:val="00B665C6"/>
    <w:rsid w:val="00B677AA"/>
    <w:rsid w:val="00B679CA"/>
    <w:rsid w:val="00B74ED0"/>
    <w:rsid w:val="00B75D4E"/>
    <w:rsid w:val="00B805AF"/>
    <w:rsid w:val="00B869EC"/>
    <w:rsid w:val="00B9397A"/>
    <w:rsid w:val="00B95F11"/>
    <w:rsid w:val="00B9633D"/>
    <w:rsid w:val="00BA2EBE"/>
    <w:rsid w:val="00BB0F28"/>
    <w:rsid w:val="00BB458A"/>
    <w:rsid w:val="00BD00D3"/>
    <w:rsid w:val="00BD1659"/>
    <w:rsid w:val="00BD1760"/>
    <w:rsid w:val="00BD3AA9"/>
    <w:rsid w:val="00BD4A18"/>
    <w:rsid w:val="00BD6DB2"/>
    <w:rsid w:val="00BE11CF"/>
    <w:rsid w:val="00BE1B67"/>
    <w:rsid w:val="00BE21AB"/>
    <w:rsid w:val="00BE55CB"/>
    <w:rsid w:val="00BF617A"/>
    <w:rsid w:val="00C00F34"/>
    <w:rsid w:val="00C0379D"/>
    <w:rsid w:val="00C03931"/>
    <w:rsid w:val="00C05209"/>
    <w:rsid w:val="00C05FE3"/>
    <w:rsid w:val="00C14AD3"/>
    <w:rsid w:val="00C2136D"/>
    <w:rsid w:val="00C214EE"/>
    <w:rsid w:val="00C2314B"/>
    <w:rsid w:val="00C24971"/>
    <w:rsid w:val="00C2514C"/>
    <w:rsid w:val="00C26BE5"/>
    <w:rsid w:val="00C26E4D"/>
    <w:rsid w:val="00C27909"/>
    <w:rsid w:val="00C27B03"/>
    <w:rsid w:val="00C304B3"/>
    <w:rsid w:val="00C314E1"/>
    <w:rsid w:val="00C3426B"/>
    <w:rsid w:val="00C34397"/>
    <w:rsid w:val="00C4095D"/>
    <w:rsid w:val="00C601D2"/>
    <w:rsid w:val="00C65BCC"/>
    <w:rsid w:val="00C660BC"/>
    <w:rsid w:val="00C66970"/>
    <w:rsid w:val="00C67917"/>
    <w:rsid w:val="00C71D50"/>
    <w:rsid w:val="00C76FE1"/>
    <w:rsid w:val="00C824AB"/>
    <w:rsid w:val="00C8691C"/>
    <w:rsid w:val="00C86979"/>
    <w:rsid w:val="00C91B19"/>
    <w:rsid w:val="00C92FA8"/>
    <w:rsid w:val="00CA168A"/>
    <w:rsid w:val="00CA357E"/>
    <w:rsid w:val="00CA44F9"/>
    <w:rsid w:val="00CA4A69"/>
    <w:rsid w:val="00CB1634"/>
    <w:rsid w:val="00CB4DA2"/>
    <w:rsid w:val="00CC3E0C"/>
    <w:rsid w:val="00CC58D3"/>
    <w:rsid w:val="00CC784D"/>
    <w:rsid w:val="00CC7BA2"/>
    <w:rsid w:val="00CD4606"/>
    <w:rsid w:val="00D0337B"/>
    <w:rsid w:val="00D0553D"/>
    <w:rsid w:val="00D06A48"/>
    <w:rsid w:val="00D079B2"/>
    <w:rsid w:val="00D114E9"/>
    <w:rsid w:val="00D1603D"/>
    <w:rsid w:val="00D2216A"/>
    <w:rsid w:val="00D22581"/>
    <w:rsid w:val="00D357F0"/>
    <w:rsid w:val="00D429C6"/>
    <w:rsid w:val="00D47748"/>
    <w:rsid w:val="00D54029"/>
    <w:rsid w:val="00D54371"/>
    <w:rsid w:val="00D54CC3"/>
    <w:rsid w:val="00D6041A"/>
    <w:rsid w:val="00D633EB"/>
    <w:rsid w:val="00D73AD3"/>
    <w:rsid w:val="00D82FF7"/>
    <w:rsid w:val="00D847FE"/>
    <w:rsid w:val="00D91D8B"/>
    <w:rsid w:val="00D964EA"/>
    <w:rsid w:val="00D966D0"/>
    <w:rsid w:val="00DA0C59"/>
    <w:rsid w:val="00DA1455"/>
    <w:rsid w:val="00DA14EC"/>
    <w:rsid w:val="00DA3991"/>
    <w:rsid w:val="00DB1C3F"/>
    <w:rsid w:val="00DB3186"/>
    <w:rsid w:val="00DB7E6C"/>
    <w:rsid w:val="00DC3925"/>
    <w:rsid w:val="00DC461F"/>
    <w:rsid w:val="00DD5A29"/>
    <w:rsid w:val="00DD5D9D"/>
    <w:rsid w:val="00DE35CB"/>
    <w:rsid w:val="00DF21E9"/>
    <w:rsid w:val="00DF6602"/>
    <w:rsid w:val="00DF779B"/>
    <w:rsid w:val="00E00F14"/>
    <w:rsid w:val="00E06386"/>
    <w:rsid w:val="00E24EB4"/>
    <w:rsid w:val="00E320ED"/>
    <w:rsid w:val="00E33AFB"/>
    <w:rsid w:val="00E34218"/>
    <w:rsid w:val="00E37BC1"/>
    <w:rsid w:val="00E46282"/>
    <w:rsid w:val="00E51DF9"/>
    <w:rsid w:val="00E5216E"/>
    <w:rsid w:val="00E67F5E"/>
    <w:rsid w:val="00E82344"/>
    <w:rsid w:val="00E84C82"/>
    <w:rsid w:val="00E84D64"/>
    <w:rsid w:val="00E87408"/>
    <w:rsid w:val="00E87A2F"/>
    <w:rsid w:val="00E914C4"/>
    <w:rsid w:val="00E934F5"/>
    <w:rsid w:val="00E96332"/>
    <w:rsid w:val="00E96961"/>
    <w:rsid w:val="00EA215E"/>
    <w:rsid w:val="00EA5E31"/>
    <w:rsid w:val="00EA6BE6"/>
    <w:rsid w:val="00EA72EC"/>
    <w:rsid w:val="00EB11CB"/>
    <w:rsid w:val="00EB275A"/>
    <w:rsid w:val="00EB786A"/>
    <w:rsid w:val="00EC1578"/>
    <w:rsid w:val="00EC1C72"/>
    <w:rsid w:val="00EC3CC9"/>
    <w:rsid w:val="00EC680A"/>
    <w:rsid w:val="00EE2BED"/>
    <w:rsid w:val="00EE374B"/>
    <w:rsid w:val="00F11BB5"/>
    <w:rsid w:val="00F1417B"/>
    <w:rsid w:val="00F327E6"/>
    <w:rsid w:val="00F34B99"/>
    <w:rsid w:val="00F448CC"/>
    <w:rsid w:val="00F52DAB"/>
    <w:rsid w:val="00F53FDB"/>
    <w:rsid w:val="00F543F0"/>
    <w:rsid w:val="00F56556"/>
    <w:rsid w:val="00F60BF8"/>
    <w:rsid w:val="00F81D29"/>
    <w:rsid w:val="00F91C4D"/>
    <w:rsid w:val="00F92FD9"/>
    <w:rsid w:val="00FA2AF1"/>
    <w:rsid w:val="00FA6684"/>
    <w:rsid w:val="00FA731E"/>
    <w:rsid w:val="00FB2B38"/>
    <w:rsid w:val="00FB60DD"/>
    <w:rsid w:val="00FC6358"/>
    <w:rsid w:val="00FD320D"/>
    <w:rsid w:val="00FD535B"/>
    <w:rsid w:val="00FE23DE"/>
    <w:rsid w:val="00FF5143"/>
    <w:rsid w:val="00FF6927"/>
    <w:rsid w:val="013C330E"/>
    <w:rsid w:val="018E25F6"/>
    <w:rsid w:val="0358696D"/>
    <w:rsid w:val="056A49B4"/>
    <w:rsid w:val="06767D12"/>
    <w:rsid w:val="06B955A0"/>
    <w:rsid w:val="09C4504E"/>
    <w:rsid w:val="0AEF4EAE"/>
    <w:rsid w:val="0CA950EB"/>
    <w:rsid w:val="0CB07747"/>
    <w:rsid w:val="0CB12342"/>
    <w:rsid w:val="0D0D47C4"/>
    <w:rsid w:val="0D311B9C"/>
    <w:rsid w:val="0E767C7D"/>
    <w:rsid w:val="0FD646F5"/>
    <w:rsid w:val="100B75D6"/>
    <w:rsid w:val="10733A84"/>
    <w:rsid w:val="11A4155E"/>
    <w:rsid w:val="132C1E53"/>
    <w:rsid w:val="15E05A17"/>
    <w:rsid w:val="19054589"/>
    <w:rsid w:val="1A17048B"/>
    <w:rsid w:val="1AE168A7"/>
    <w:rsid w:val="1B087D37"/>
    <w:rsid w:val="1CF65AC4"/>
    <w:rsid w:val="1D2261DC"/>
    <w:rsid w:val="1F1B0F59"/>
    <w:rsid w:val="1F521D2D"/>
    <w:rsid w:val="200128B9"/>
    <w:rsid w:val="20B45F20"/>
    <w:rsid w:val="21F64B71"/>
    <w:rsid w:val="22D5546C"/>
    <w:rsid w:val="25FE3AD5"/>
    <w:rsid w:val="26D11121"/>
    <w:rsid w:val="272D5136"/>
    <w:rsid w:val="27A52757"/>
    <w:rsid w:val="29387D4E"/>
    <w:rsid w:val="29926CCE"/>
    <w:rsid w:val="29F9444C"/>
    <w:rsid w:val="2A675C46"/>
    <w:rsid w:val="2F6E1700"/>
    <w:rsid w:val="2F800292"/>
    <w:rsid w:val="318130A4"/>
    <w:rsid w:val="33735A57"/>
    <w:rsid w:val="33EE29E9"/>
    <w:rsid w:val="33F4131C"/>
    <w:rsid w:val="34D20001"/>
    <w:rsid w:val="36F31923"/>
    <w:rsid w:val="37690E7F"/>
    <w:rsid w:val="382F673D"/>
    <w:rsid w:val="392000D6"/>
    <w:rsid w:val="3BC467B0"/>
    <w:rsid w:val="3C55103C"/>
    <w:rsid w:val="3C7F63FA"/>
    <w:rsid w:val="3CF62816"/>
    <w:rsid w:val="3D5513EC"/>
    <w:rsid w:val="3D8B400C"/>
    <w:rsid w:val="3E5A7FF4"/>
    <w:rsid w:val="3F622FBE"/>
    <w:rsid w:val="40FE1BDB"/>
    <w:rsid w:val="4223668E"/>
    <w:rsid w:val="42283D84"/>
    <w:rsid w:val="42FC0677"/>
    <w:rsid w:val="444D13E3"/>
    <w:rsid w:val="45D60F94"/>
    <w:rsid w:val="45F143BE"/>
    <w:rsid w:val="466F214D"/>
    <w:rsid w:val="47E47E89"/>
    <w:rsid w:val="485136BA"/>
    <w:rsid w:val="4C012703"/>
    <w:rsid w:val="4CF75888"/>
    <w:rsid w:val="4D083FA0"/>
    <w:rsid w:val="4D93376D"/>
    <w:rsid w:val="4EAD684E"/>
    <w:rsid w:val="4FDF0338"/>
    <w:rsid w:val="5080209A"/>
    <w:rsid w:val="509F0B20"/>
    <w:rsid w:val="50C45728"/>
    <w:rsid w:val="51245094"/>
    <w:rsid w:val="51F06038"/>
    <w:rsid w:val="5249704B"/>
    <w:rsid w:val="53082666"/>
    <w:rsid w:val="5318122F"/>
    <w:rsid w:val="542C1058"/>
    <w:rsid w:val="558A4512"/>
    <w:rsid w:val="584C3731"/>
    <w:rsid w:val="588F7820"/>
    <w:rsid w:val="597018B8"/>
    <w:rsid w:val="5A4B74C9"/>
    <w:rsid w:val="5B613F54"/>
    <w:rsid w:val="5B6E6C8F"/>
    <w:rsid w:val="5C00577E"/>
    <w:rsid w:val="5C2F02F2"/>
    <w:rsid w:val="5C427F7F"/>
    <w:rsid w:val="5D0E1224"/>
    <w:rsid w:val="5D5E5010"/>
    <w:rsid w:val="5D94778D"/>
    <w:rsid w:val="5D9C114B"/>
    <w:rsid w:val="5FA60AE0"/>
    <w:rsid w:val="5FC74A79"/>
    <w:rsid w:val="60C90E89"/>
    <w:rsid w:val="63834505"/>
    <w:rsid w:val="63E81522"/>
    <w:rsid w:val="64074E39"/>
    <w:rsid w:val="64202E1B"/>
    <w:rsid w:val="66A56B67"/>
    <w:rsid w:val="681D0F8B"/>
    <w:rsid w:val="68893292"/>
    <w:rsid w:val="68CA3036"/>
    <w:rsid w:val="68F77EFF"/>
    <w:rsid w:val="691F4252"/>
    <w:rsid w:val="6A787135"/>
    <w:rsid w:val="6B007412"/>
    <w:rsid w:val="6BBA79F6"/>
    <w:rsid w:val="6BF26D8C"/>
    <w:rsid w:val="6CA97840"/>
    <w:rsid w:val="6E2C61A3"/>
    <w:rsid w:val="70704522"/>
    <w:rsid w:val="70DC3402"/>
    <w:rsid w:val="70ED2932"/>
    <w:rsid w:val="719C564C"/>
    <w:rsid w:val="71FD06E7"/>
    <w:rsid w:val="73AC3BBE"/>
    <w:rsid w:val="753C69D3"/>
    <w:rsid w:val="777311FB"/>
    <w:rsid w:val="777F0627"/>
    <w:rsid w:val="7B9F4CF3"/>
    <w:rsid w:val="7BBD7270"/>
    <w:rsid w:val="7C070588"/>
    <w:rsid w:val="7C1F0930"/>
    <w:rsid w:val="7DDF6B44"/>
    <w:rsid w:val="7E4703C6"/>
    <w:rsid w:val="7E8E1BF6"/>
    <w:rsid w:val="7FFF4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4">
    <w:name w:val="Default Paragraph Font"/>
    <w:unhideWhenUsed/>
    <w:qFormat/>
    <w:uiPriority w:val="1"/>
  </w:style>
  <w:style w:type="table" w:default="1" w:styleId="3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semiHidden/>
    <w:qFormat/>
    <w:uiPriority w:val="0"/>
    <w:pPr>
      <w:tabs>
        <w:tab w:val="right" w:leader="dot" w:pos="9241"/>
      </w:tabs>
      <w:ind w:firstLine="500" w:firstLineChars="500"/>
      <w:jc w:val="left"/>
    </w:pPr>
    <w:rPr>
      <w:rFonts w:ascii="宋体"/>
      <w:szCs w:val="21"/>
    </w:rPr>
  </w:style>
  <w:style w:type="paragraph" w:styleId="3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6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7">
    <w:name w:val="Document Map"/>
    <w:basedOn w:val="1"/>
    <w:semiHidden/>
    <w:qFormat/>
    <w:uiPriority w:val="0"/>
    <w:pPr>
      <w:shd w:val="clear" w:color="auto" w:fill="000080"/>
    </w:pPr>
  </w:style>
  <w:style w:type="paragraph" w:styleId="8">
    <w:name w:val="annotation text"/>
    <w:basedOn w:val="1"/>
    <w:qFormat/>
    <w:uiPriority w:val="0"/>
    <w:pPr>
      <w:jc w:val="left"/>
    </w:pPr>
  </w:style>
  <w:style w:type="paragraph" w:styleId="9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10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11">
    <w:name w:val="toc 5"/>
    <w:basedOn w:val="1"/>
    <w:next w:val="1"/>
    <w:semiHidden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12">
    <w:name w:val="toc 3"/>
    <w:basedOn w:val="1"/>
    <w:next w:val="1"/>
    <w:semiHidden/>
    <w:qFormat/>
    <w:uiPriority w:val="0"/>
    <w:pPr>
      <w:tabs>
        <w:tab w:val="right" w:leader="dot" w:pos="9241"/>
      </w:tabs>
      <w:ind w:firstLine="100" w:firstLineChars="100"/>
      <w:jc w:val="left"/>
    </w:pPr>
    <w:rPr>
      <w:rFonts w:ascii="宋体"/>
      <w:szCs w:val="21"/>
    </w:rPr>
  </w:style>
  <w:style w:type="paragraph" w:styleId="13">
    <w:name w:val="Plain Text"/>
    <w:basedOn w:val="1"/>
    <w:qFormat/>
    <w:uiPriority w:val="0"/>
    <w:pPr>
      <w:spacing w:line="288" w:lineRule="auto"/>
    </w:pPr>
    <w:rPr>
      <w:rFonts w:ascii="宋体" w:hAnsi="Courier New"/>
      <w:szCs w:val="20"/>
    </w:rPr>
  </w:style>
  <w:style w:type="paragraph" w:styleId="14">
    <w:name w:val="toc 8"/>
    <w:basedOn w:val="1"/>
    <w:next w:val="1"/>
    <w:semiHidden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15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16">
    <w:name w:val="endnote text"/>
    <w:basedOn w:val="1"/>
    <w:semiHidden/>
    <w:qFormat/>
    <w:uiPriority w:val="0"/>
    <w:pPr>
      <w:snapToGrid w:val="0"/>
      <w:jc w:val="left"/>
    </w:pPr>
  </w:style>
  <w:style w:type="paragraph" w:styleId="17">
    <w:name w:val="Balloon Text"/>
    <w:basedOn w:val="1"/>
    <w:link w:val="137"/>
    <w:qFormat/>
    <w:uiPriority w:val="0"/>
    <w:rPr>
      <w:sz w:val="18"/>
      <w:szCs w:val="18"/>
    </w:rPr>
  </w:style>
  <w:style w:type="paragraph" w:styleId="18">
    <w:name w:val="footer"/>
    <w:basedOn w:val="1"/>
    <w:qFormat/>
    <w:uiPriority w:val="0"/>
    <w:pPr>
      <w:snapToGrid w:val="0"/>
      <w:ind w:right="210" w:rightChars="100"/>
      <w:jc w:val="right"/>
    </w:pPr>
    <w:rPr>
      <w:sz w:val="18"/>
      <w:szCs w:val="18"/>
    </w:rPr>
  </w:style>
  <w:style w:type="paragraph" w:styleId="19">
    <w:name w:val="head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20">
    <w:name w:val="toc 1"/>
    <w:basedOn w:val="1"/>
    <w:next w:val="1"/>
    <w:semiHidden/>
    <w:qFormat/>
    <w:uiPriority w:val="0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21">
    <w:name w:val="toc 4"/>
    <w:basedOn w:val="1"/>
    <w:next w:val="1"/>
    <w:semiHidden/>
    <w:qFormat/>
    <w:uiPriority w:val="0"/>
    <w:pPr>
      <w:tabs>
        <w:tab w:val="right" w:leader="dot" w:pos="9241"/>
      </w:tabs>
      <w:ind w:firstLine="200" w:firstLineChars="200"/>
      <w:jc w:val="left"/>
    </w:pPr>
    <w:rPr>
      <w:rFonts w:ascii="宋体"/>
      <w:szCs w:val="21"/>
    </w:rPr>
  </w:style>
  <w:style w:type="paragraph" w:styleId="22">
    <w:name w:val="index heading"/>
    <w:basedOn w:val="1"/>
    <w:next w:val="23"/>
    <w:qFormat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23">
    <w:name w:val="index 1"/>
    <w:basedOn w:val="1"/>
    <w:next w:val="24"/>
    <w:qFormat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24">
    <w:name w:val="段"/>
    <w:link w:val="40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25">
    <w:name w:val="footnote text"/>
    <w:basedOn w:val="1"/>
    <w:qFormat/>
    <w:uiPriority w:val="0"/>
    <w:pPr>
      <w:numPr>
        <w:ilvl w:val="0"/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26">
    <w:name w:val="toc 6"/>
    <w:basedOn w:val="1"/>
    <w:next w:val="1"/>
    <w:semiHidden/>
    <w:qFormat/>
    <w:uiPriority w:val="0"/>
    <w:pPr>
      <w:tabs>
        <w:tab w:val="right" w:leader="dot" w:pos="9241"/>
      </w:tabs>
      <w:ind w:firstLine="400" w:firstLineChars="400"/>
      <w:jc w:val="left"/>
    </w:pPr>
    <w:rPr>
      <w:rFonts w:ascii="宋体"/>
      <w:szCs w:val="21"/>
    </w:rPr>
  </w:style>
  <w:style w:type="paragraph" w:styleId="27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28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9">
    <w:name w:val="toc 2"/>
    <w:basedOn w:val="1"/>
    <w:next w:val="1"/>
    <w:semiHidden/>
    <w:qFormat/>
    <w:uiPriority w:val="0"/>
    <w:pPr>
      <w:tabs>
        <w:tab w:val="right" w:leader="dot" w:pos="9242"/>
      </w:tabs>
    </w:pPr>
    <w:rPr>
      <w:rFonts w:ascii="宋体"/>
      <w:szCs w:val="21"/>
    </w:rPr>
  </w:style>
  <w:style w:type="paragraph" w:styleId="30">
    <w:name w:val="toc 9"/>
    <w:basedOn w:val="1"/>
    <w:next w:val="1"/>
    <w:semiHidden/>
    <w:qFormat/>
    <w:uiPriority w:val="0"/>
    <w:pPr>
      <w:ind w:left="1470"/>
      <w:jc w:val="left"/>
    </w:pPr>
    <w:rPr>
      <w:sz w:val="20"/>
      <w:szCs w:val="20"/>
    </w:rPr>
  </w:style>
  <w:style w:type="paragraph" w:styleId="31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33">
    <w:name w:val="Table Grid"/>
    <w:basedOn w:val="32"/>
    <w:qFormat/>
    <w:uiPriority w:val="0"/>
    <w:rPr>
      <w:rFonts w:ascii="宋体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5">
    <w:name w:val="endnote reference"/>
    <w:basedOn w:val="34"/>
    <w:semiHidden/>
    <w:qFormat/>
    <w:uiPriority w:val="0"/>
    <w:rPr>
      <w:vertAlign w:val="superscript"/>
    </w:rPr>
  </w:style>
  <w:style w:type="character" w:styleId="36">
    <w:name w:val="page number"/>
    <w:basedOn w:val="34"/>
    <w:qFormat/>
    <w:uiPriority w:val="0"/>
    <w:rPr>
      <w:rFonts w:ascii="Times New Roman" w:hAnsi="Times New Roman" w:eastAsia="宋体"/>
      <w:sz w:val="18"/>
    </w:rPr>
  </w:style>
  <w:style w:type="character" w:styleId="37">
    <w:name w:val="FollowedHyperlink"/>
    <w:basedOn w:val="34"/>
    <w:qFormat/>
    <w:uiPriority w:val="0"/>
    <w:rPr>
      <w:color w:val="800080"/>
      <w:u w:val="single"/>
    </w:rPr>
  </w:style>
  <w:style w:type="character" w:styleId="38">
    <w:name w:val="Hyperlink"/>
    <w:basedOn w:val="34"/>
    <w:qFormat/>
    <w:uiPriority w:val="0"/>
    <w:rPr>
      <w:color w:val="0000FF"/>
      <w:spacing w:val="0"/>
      <w:w w:val="100"/>
      <w:szCs w:val="21"/>
      <w:u w:val="single"/>
    </w:rPr>
  </w:style>
  <w:style w:type="character" w:styleId="39">
    <w:name w:val="footnote reference"/>
    <w:basedOn w:val="34"/>
    <w:semiHidden/>
    <w:qFormat/>
    <w:uiPriority w:val="0"/>
    <w:rPr>
      <w:vertAlign w:val="superscript"/>
    </w:rPr>
  </w:style>
  <w:style w:type="character" w:customStyle="1" w:styleId="40">
    <w:name w:val="段 Char"/>
    <w:basedOn w:val="34"/>
    <w:link w:val="24"/>
    <w:qFormat/>
    <w:uiPriority w:val="0"/>
    <w:rPr>
      <w:rFonts w:ascii="宋体"/>
      <w:sz w:val="21"/>
      <w:lang w:val="en-US" w:eastAsia="zh-CN" w:bidi="ar-SA"/>
    </w:rPr>
  </w:style>
  <w:style w:type="paragraph" w:customStyle="1" w:styleId="41">
    <w:name w:val="一级条标题"/>
    <w:next w:val="24"/>
    <w:link w:val="136"/>
    <w:qFormat/>
    <w:uiPriority w:val="0"/>
    <w:pPr>
      <w:numPr>
        <w:ilvl w:val="1"/>
        <w:numId w:val="2"/>
      </w:num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2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43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4">
    <w:name w:val="章标题"/>
    <w:next w:val="24"/>
    <w:qFormat/>
    <w:uiPriority w:val="0"/>
    <w:pPr>
      <w:numPr>
        <w:ilvl w:val="0"/>
        <w:numId w:val="2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5">
    <w:name w:val="二级条标题"/>
    <w:basedOn w:val="41"/>
    <w:next w:val="24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46">
    <w:name w:val="封面标准号2"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47">
    <w:name w:val="列项——（一级）"/>
    <w:qFormat/>
    <w:uiPriority w:val="0"/>
    <w:pPr>
      <w:widowControl w:val="0"/>
      <w:numPr>
        <w:ilvl w:val="0"/>
        <w:numId w:val="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8">
    <w:name w:val="列项●（二级）"/>
    <w:qFormat/>
    <w:uiPriority w:val="0"/>
    <w:pPr>
      <w:numPr>
        <w:ilvl w:val="1"/>
        <w:numId w:val="3"/>
      </w:numPr>
      <w:tabs>
        <w:tab w:val="left" w:pos="84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9">
    <w:name w:val="目次、标准名称标题"/>
    <w:basedOn w:val="1"/>
    <w:next w:val="24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50">
    <w:name w:val="三级条标题"/>
    <w:basedOn w:val="45"/>
    <w:next w:val="24"/>
    <w:qFormat/>
    <w:uiPriority w:val="0"/>
    <w:pPr>
      <w:numPr>
        <w:ilvl w:val="3"/>
      </w:numPr>
      <w:outlineLvl w:val="4"/>
    </w:pPr>
  </w:style>
  <w:style w:type="paragraph" w:customStyle="1" w:styleId="51">
    <w:name w:val="示例"/>
    <w:next w:val="52"/>
    <w:qFormat/>
    <w:uiPriority w:val="0"/>
    <w:pPr>
      <w:widowControl w:val="0"/>
      <w:ind w:firstLine="363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2">
    <w:name w:val="示例内容"/>
    <w:qFormat/>
    <w:uiPriority w:val="0"/>
    <w:pPr>
      <w:ind w:firstLine="200" w:firstLineChars="200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3">
    <w:name w:val="数字编号列项（二级）"/>
    <w:qFormat/>
    <w:uiPriority w:val="0"/>
    <w:pPr>
      <w:numPr>
        <w:ilvl w:val="1"/>
        <w:numId w:val="4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4">
    <w:name w:val="四级条标题"/>
    <w:basedOn w:val="50"/>
    <w:next w:val="24"/>
    <w:qFormat/>
    <w:uiPriority w:val="0"/>
    <w:pPr>
      <w:numPr>
        <w:ilvl w:val="4"/>
      </w:numPr>
      <w:outlineLvl w:val="5"/>
    </w:pPr>
  </w:style>
  <w:style w:type="paragraph" w:customStyle="1" w:styleId="55">
    <w:name w:val="五级条标题"/>
    <w:basedOn w:val="54"/>
    <w:next w:val="24"/>
    <w:qFormat/>
    <w:uiPriority w:val="0"/>
    <w:pPr>
      <w:numPr>
        <w:ilvl w:val="5"/>
      </w:numPr>
      <w:outlineLvl w:val="6"/>
    </w:pPr>
  </w:style>
  <w:style w:type="paragraph" w:customStyle="1" w:styleId="56">
    <w:name w:val="注："/>
    <w:next w:val="24"/>
    <w:qFormat/>
    <w:uiPriority w:val="0"/>
    <w:pPr>
      <w:widowControl w:val="0"/>
      <w:autoSpaceDE w:val="0"/>
      <w:autoSpaceDN w:val="0"/>
      <w:ind w:left="726" w:hanging="363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7">
    <w:name w:val="注×："/>
    <w:qFormat/>
    <w:uiPriority w:val="0"/>
    <w:pPr>
      <w:widowControl w:val="0"/>
      <w:autoSpaceDE w:val="0"/>
      <w:autoSpaceDN w:val="0"/>
      <w:ind w:left="811" w:hanging="448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8">
    <w:name w:val="字母编号列项（一级）"/>
    <w:qFormat/>
    <w:uiPriority w:val="0"/>
    <w:pPr>
      <w:numPr>
        <w:ilvl w:val="0"/>
        <w:numId w:val="4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9">
    <w:name w:val="列项◆（三级）"/>
    <w:basedOn w:val="1"/>
    <w:qFormat/>
    <w:uiPriority w:val="0"/>
    <w:pPr>
      <w:numPr>
        <w:ilvl w:val="2"/>
        <w:numId w:val="3"/>
      </w:numPr>
    </w:pPr>
    <w:rPr>
      <w:rFonts w:ascii="宋体"/>
      <w:szCs w:val="21"/>
    </w:rPr>
  </w:style>
  <w:style w:type="paragraph" w:customStyle="1" w:styleId="60">
    <w:name w:val="编号列项（三级）"/>
    <w:qFormat/>
    <w:uiPriority w:val="0"/>
    <w:pPr>
      <w:numPr>
        <w:ilvl w:val="2"/>
        <w:numId w:val="4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1">
    <w:name w:val="示例×："/>
    <w:basedOn w:val="44"/>
    <w:qFormat/>
    <w:uiPriority w:val="0"/>
    <w:pPr>
      <w:numPr>
        <w:numId w:val="0"/>
      </w:num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62">
    <w:name w:val="二级无"/>
    <w:basedOn w:val="45"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63">
    <w:name w:val="注：（正文）"/>
    <w:basedOn w:val="56"/>
    <w:next w:val="24"/>
    <w:qFormat/>
    <w:uiPriority w:val="0"/>
  </w:style>
  <w:style w:type="paragraph" w:customStyle="1" w:styleId="64">
    <w:name w:val="注×：（正文）"/>
    <w:qFormat/>
    <w:uiPriority w:val="0"/>
    <w:pPr>
      <w:numPr>
        <w:ilvl w:val="0"/>
        <w:numId w:val="5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5">
    <w:name w:val="标准标志"/>
    <w:next w:val="1"/>
    <w:qFormat/>
    <w:uiPriority w:val="0"/>
    <w:pPr>
      <w:framePr w:w="2546" w:h="1389" w:hRule="exact" w:hSpace="181" w:vSpace="181" w:wrap="around" w:vAnchor="margin" w:hAnchor="margin" w:x="6522" w:y="398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70"/>
      <w:sz w:val="96"/>
      <w:szCs w:val="96"/>
      <w:lang w:val="en-US" w:eastAsia="zh-CN" w:bidi="ar-SA"/>
    </w:rPr>
  </w:style>
  <w:style w:type="paragraph" w:customStyle="1" w:styleId="66">
    <w:name w:val="标准称谓"/>
    <w:next w:val="1"/>
    <w:qFormat/>
    <w:uiPriority w:val="0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48"/>
      <w:lang w:val="en-US" w:eastAsia="zh-CN" w:bidi="ar-SA"/>
    </w:rPr>
  </w:style>
  <w:style w:type="paragraph" w:customStyle="1" w:styleId="67">
    <w:name w:val="标准书脚_偶数页"/>
    <w:qFormat/>
    <w:uiPriority w:val="0"/>
    <w:pPr>
      <w:spacing w:before="120"/>
      <w:ind w:left="221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8">
    <w:name w:val="标准书眉_偶数页"/>
    <w:basedOn w:val="43"/>
    <w:next w:val="1"/>
    <w:qFormat/>
    <w:uiPriority w:val="0"/>
    <w:pPr>
      <w:jc w:val="left"/>
    </w:pPr>
  </w:style>
  <w:style w:type="paragraph" w:customStyle="1" w:styleId="69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70">
    <w:name w:val="参考文献"/>
    <w:basedOn w:val="1"/>
    <w:next w:val="24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71">
    <w:name w:val="参考文献、索引标题"/>
    <w:basedOn w:val="1"/>
    <w:next w:val="24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72">
    <w:name w:val="发布"/>
    <w:basedOn w:val="34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73">
    <w:name w:val="发布部门"/>
    <w:next w:val="24"/>
    <w:qFormat/>
    <w:uiPriority w:val="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 w:eastAsia="宋体" w:cs="Times New Roman"/>
      <w:b/>
      <w:spacing w:val="20"/>
      <w:w w:val="135"/>
      <w:sz w:val="28"/>
      <w:lang w:val="en-US" w:eastAsia="zh-CN" w:bidi="ar-SA"/>
    </w:rPr>
  </w:style>
  <w:style w:type="paragraph" w:customStyle="1" w:styleId="74">
    <w:name w:val="发布日期"/>
    <w:qFormat/>
    <w:uiPriority w:val="0"/>
    <w:pPr>
      <w:framePr w:w="3997" w:h="471" w:hRule="exact" w:vSpace="181" w:wrap="around" w:vAnchor="margin" w:hAnchor="page" w:x="7089" w:y="14097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75">
    <w:name w:val="封面标准代替信息"/>
    <w:qFormat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76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77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78">
    <w:name w:val="封面标准英文名称"/>
    <w:basedOn w:val="77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79">
    <w:name w:val="封面一致性程度标识"/>
    <w:basedOn w:val="78"/>
    <w:qFormat/>
    <w:uiPriority w:val="0"/>
    <w:pPr>
      <w:spacing w:before="440"/>
    </w:pPr>
    <w:rPr>
      <w:rFonts w:ascii="宋体" w:eastAsia="宋体"/>
    </w:rPr>
  </w:style>
  <w:style w:type="paragraph" w:customStyle="1" w:styleId="80">
    <w:name w:val="封面标准文稿类别"/>
    <w:basedOn w:val="79"/>
    <w:qFormat/>
    <w:uiPriority w:val="0"/>
    <w:pPr>
      <w:spacing w:after="160" w:line="240" w:lineRule="auto"/>
    </w:pPr>
    <w:rPr>
      <w:sz w:val="24"/>
    </w:rPr>
  </w:style>
  <w:style w:type="paragraph" w:customStyle="1" w:styleId="81">
    <w:name w:val="封面标准文稿编辑信息"/>
    <w:basedOn w:val="80"/>
    <w:qFormat/>
    <w:uiPriority w:val="0"/>
    <w:pPr>
      <w:spacing w:before="180" w:line="180" w:lineRule="exact"/>
    </w:pPr>
    <w:rPr>
      <w:sz w:val="21"/>
    </w:rPr>
  </w:style>
  <w:style w:type="paragraph" w:customStyle="1" w:styleId="82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83">
    <w:name w:val="附录标识"/>
    <w:basedOn w:val="1"/>
    <w:next w:val="24"/>
    <w:qFormat/>
    <w:uiPriority w:val="0"/>
    <w:pPr>
      <w:keepNext/>
      <w:widowControl/>
      <w:numPr>
        <w:ilvl w:val="0"/>
        <w:numId w:val="6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84">
    <w:name w:val="附录标题"/>
    <w:basedOn w:val="24"/>
    <w:next w:val="24"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85">
    <w:name w:val="附录表标号"/>
    <w:basedOn w:val="1"/>
    <w:next w:val="24"/>
    <w:qFormat/>
    <w:uiPriority w:val="0"/>
    <w:pPr>
      <w:numPr>
        <w:ilvl w:val="0"/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86">
    <w:name w:val="附录表标题"/>
    <w:basedOn w:val="1"/>
    <w:next w:val="24"/>
    <w:qFormat/>
    <w:uiPriority w:val="0"/>
    <w:pPr>
      <w:numPr>
        <w:ilvl w:val="1"/>
        <w:numId w:val="7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87">
    <w:name w:val="附录二级条标题"/>
    <w:basedOn w:val="1"/>
    <w:next w:val="24"/>
    <w:qFormat/>
    <w:uiPriority w:val="0"/>
    <w:pPr>
      <w:widowControl/>
      <w:numPr>
        <w:ilvl w:val="3"/>
        <w:numId w:val="6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88">
    <w:name w:val="附录二级无"/>
    <w:basedOn w:val="87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89">
    <w:name w:val="附录公式"/>
    <w:basedOn w:val="24"/>
    <w:next w:val="24"/>
    <w:link w:val="90"/>
    <w:qFormat/>
    <w:uiPriority w:val="0"/>
  </w:style>
  <w:style w:type="character" w:customStyle="1" w:styleId="90">
    <w:name w:val="附录公式 Char"/>
    <w:basedOn w:val="40"/>
    <w:link w:val="89"/>
    <w:qFormat/>
    <w:uiPriority w:val="0"/>
  </w:style>
  <w:style w:type="paragraph" w:customStyle="1" w:styleId="91">
    <w:name w:val="附录公式编号制表符"/>
    <w:basedOn w:val="1"/>
    <w:next w:val="24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92">
    <w:name w:val="附录三级条标题"/>
    <w:basedOn w:val="87"/>
    <w:next w:val="24"/>
    <w:qFormat/>
    <w:uiPriority w:val="0"/>
    <w:pPr>
      <w:numPr>
        <w:ilvl w:val="4"/>
      </w:numPr>
      <w:outlineLvl w:val="4"/>
    </w:pPr>
  </w:style>
  <w:style w:type="paragraph" w:customStyle="1" w:styleId="93">
    <w:name w:val="附录三级无"/>
    <w:basedOn w:val="92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94">
    <w:name w:val="附录数字编号列项（二级）"/>
    <w:qFormat/>
    <w:uiPriority w:val="0"/>
    <w:pPr>
      <w:numPr>
        <w:ilvl w:val="1"/>
        <w:numId w:val="8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5">
    <w:name w:val="附录四级条标题"/>
    <w:basedOn w:val="92"/>
    <w:next w:val="24"/>
    <w:qFormat/>
    <w:uiPriority w:val="0"/>
    <w:pPr>
      <w:numPr>
        <w:ilvl w:val="5"/>
      </w:numPr>
      <w:outlineLvl w:val="5"/>
    </w:pPr>
  </w:style>
  <w:style w:type="paragraph" w:customStyle="1" w:styleId="96">
    <w:name w:val="附录四级无"/>
    <w:basedOn w:val="95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97">
    <w:name w:val="附录图标号"/>
    <w:basedOn w:val="1"/>
    <w:qFormat/>
    <w:uiPriority w:val="0"/>
    <w:pPr>
      <w:keepNext/>
      <w:pageBreakBefore/>
      <w:widowControl/>
      <w:numPr>
        <w:ilvl w:val="0"/>
        <w:numId w:val="9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98">
    <w:name w:val="附录图标题"/>
    <w:basedOn w:val="1"/>
    <w:next w:val="24"/>
    <w:qFormat/>
    <w:uiPriority w:val="0"/>
    <w:pPr>
      <w:numPr>
        <w:ilvl w:val="1"/>
        <w:numId w:val="9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99">
    <w:name w:val="附录五级条标题"/>
    <w:basedOn w:val="95"/>
    <w:next w:val="24"/>
    <w:qFormat/>
    <w:uiPriority w:val="0"/>
    <w:pPr>
      <w:numPr>
        <w:ilvl w:val="6"/>
      </w:numPr>
      <w:outlineLvl w:val="6"/>
    </w:pPr>
  </w:style>
  <w:style w:type="paragraph" w:customStyle="1" w:styleId="100">
    <w:name w:val="附录五级无"/>
    <w:basedOn w:val="99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01">
    <w:name w:val="附录章标题"/>
    <w:next w:val="24"/>
    <w:qFormat/>
    <w:uiPriority w:val="0"/>
    <w:pPr>
      <w:numPr>
        <w:ilvl w:val="1"/>
        <w:numId w:val="6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02">
    <w:name w:val="附录一级条标题"/>
    <w:basedOn w:val="101"/>
    <w:next w:val="24"/>
    <w:qFormat/>
    <w:uiPriority w:val="0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103">
    <w:name w:val="附录一级无"/>
    <w:basedOn w:val="102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04">
    <w:name w:val="附录字母编号列项（一级）"/>
    <w:qFormat/>
    <w:uiPriority w:val="0"/>
    <w:pPr>
      <w:numPr>
        <w:ilvl w:val="0"/>
        <w:numId w:val="8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5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106">
    <w:name w:val="列项说明数字编号"/>
    <w:qFormat/>
    <w:uiPriority w:val="0"/>
    <w:pPr>
      <w:ind w:left="600" w:leftChars="4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7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8">
    <w:name w:val="其他标准标志"/>
    <w:basedOn w:val="65"/>
    <w:qFormat/>
    <w:uiPriority w:val="0"/>
    <w:pPr>
      <w:framePr w:w="6101" w:vAnchor="page" w:hAnchor="page" w:x="4673" w:y="942"/>
    </w:pPr>
    <w:rPr>
      <w:w w:val="130"/>
    </w:rPr>
  </w:style>
  <w:style w:type="paragraph" w:customStyle="1" w:styleId="109">
    <w:name w:val="其他标准称谓"/>
    <w:next w:val="1"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10">
    <w:name w:val="其他发布部门"/>
    <w:basedOn w:val="73"/>
    <w:qFormat/>
    <w:uiPriority w:val="0"/>
    <w:pPr>
      <w:framePr w:y="15310"/>
      <w:spacing w:line="0" w:lineRule="atLeast"/>
    </w:pPr>
    <w:rPr>
      <w:rFonts w:ascii="黑体" w:eastAsia="黑体"/>
      <w:b w:val="0"/>
    </w:rPr>
  </w:style>
  <w:style w:type="paragraph" w:customStyle="1" w:styleId="111">
    <w:name w:val="前言、引言标题"/>
    <w:next w:val="24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12">
    <w:name w:val="三级无"/>
    <w:basedOn w:val="50"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113">
    <w:name w:val="实施日期"/>
    <w:basedOn w:val="74"/>
    <w:qFormat/>
    <w:uiPriority w:val="0"/>
    <w:pPr>
      <w:framePr w:vAnchor="page" w:hAnchor="text"/>
      <w:jc w:val="right"/>
    </w:pPr>
  </w:style>
  <w:style w:type="paragraph" w:customStyle="1" w:styleId="114">
    <w:name w:val="示例后文字"/>
    <w:basedOn w:val="24"/>
    <w:next w:val="24"/>
    <w:qFormat/>
    <w:uiPriority w:val="0"/>
    <w:pPr>
      <w:ind w:firstLine="360"/>
    </w:pPr>
    <w:rPr>
      <w:sz w:val="18"/>
    </w:rPr>
  </w:style>
  <w:style w:type="paragraph" w:customStyle="1" w:styleId="115">
    <w:name w:val="首示例"/>
    <w:next w:val="24"/>
    <w:link w:val="116"/>
    <w:qFormat/>
    <w:uiPriority w:val="0"/>
    <w:pPr>
      <w:tabs>
        <w:tab w:val="left" w:pos="360"/>
      </w:tabs>
    </w:pPr>
    <w:rPr>
      <w:rFonts w:ascii="宋体" w:hAnsi="宋体" w:eastAsia="宋体" w:cs="Times New Roman"/>
      <w:kern w:val="2"/>
      <w:sz w:val="18"/>
      <w:szCs w:val="18"/>
      <w:lang w:val="en-US" w:eastAsia="zh-CN" w:bidi="ar-SA"/>
    </w:rPr>
  </w:style>
  <w:style w:type="character" w:customStyle="1" w:styleId="116">
    <w:name w:val="首示例 Char"/>
    <w:basedOn w:val="34"/>
    <w:link w:val="115"/>
    <w:qFormat/>
    <w:uiPriority w:val="0"/>
    <w:rPr>
      <w:rFonts w:ascii="宋体" w:hAnsi="宋体"/>
      <w:kern w:val="2"/>
      <w:sz w:val="18"/>
      <w:szCs w:val="18"/>
    </w:rPr>
  </w:style>
  <w:style w:type="paragraph" w:customStyle="1" w:styleId="117">
    <w:name w:val="四级无"/>
    <w:basedOn w:val="54"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118">
    <w:name w:val="条文脚注"/>
    <w:basedOn w:val="25"/>
    <w:qFormat/>
    <w:uiPriority w:val="0"/>
    <w:pPr>
      <w:numPr>
        <w:numId w:val="0"/>
      </w:numPr>
      <w:jc w:val="both"/>
    </w:pPr>
  </w:style>
  <w:style w:type="paragraph" w:customStyle="1" w:styleId="119">
    <w:name w:val="图标脚注说明"/>
    <w:basedOn w:val="24"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120">
    <w:name w:val="图表脚注说明"/>
    <w:basedOn w:val="1"/>
    <w:qFormat/>
    <w:uiPriority w:val="0"/>
    <w:pPr>
      <w:ind w:left="544" w:hanging="181"/>
    </w:pPr>
    <w:rPr>
      <w:rFonts w:ascii="宋体"/>
      <w:sz w:val="18"/>
      <w:szCs w:val="18"/>
    </w:rPr>
  </w:style>
  <w:style w:type="paragraph" w:customStyle="1" w:styleId="121">
    <w:name w:val="图的脚注"/>
    <w:next w:val="24"/>
    <w:qFormat/>
    <w:uiPriority w:val="0"/>
    <w:pPr>
      <w:widowControl w:val="0"/>
      <w:ind w:left="840" w:leftChars="200" w:hanging="42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22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23">
    <w:name w:val="五级无"/>
    <w:basedOn w:val="55"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124">
    <w:name w:val="一级无"/>
    <w:basedOn w:val="41"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125">
    <w:name w:val="正文表标题"/>
    <w:next w:val="24"/>
    <w:qFormat/>
    <w:uiPriority w:val="0"/>
    <w:pPr>
      <w:tabs>
        <w:tab w:val="left" w:pos="36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6">
    <w:name w:val="正文公式编号制表符"/>
    <w:basedOn w:val="24"/>
    <w:next w:val="24"/>
    <w:qFormat/>
    <w:uiPriority w:val="0"/>
    <w:pPr>
      <w:ind w:firstLine="0" w:firstLineChars="0"/>
    </w:pPr>
  </w:style>
  <w:style w:type="paragraph" w:customStyle="1" w:styleId="127">
    <w:name w:val="正文图标题"/>
    <w:next w:val="24"/>
    <w:qFormat/>
    <w:uiPriority w:val="0"/>
    <w:pPr>
      <w:tabs>
        <w:tab w:val="left" w:pos="36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8">
    <w:name w:val="终结线"/>
    <w:basedOn w:val="1"/>
    <w:qFormat/>
    <w:uiPriority w:val="0"/>
    <w:pPr>
      <w:framePr w:hSpace="181" w:vSpace="181" w:wrap="around" w:vAnchor="text" w:hAnchor="margin" w:xAlign="center" w:y="285"/>
    </w:pPr>
  </w:style>
  <w:style w:type="paragraph" w:customStyle="1" w:styleId="129">
    <w:name w:val="其他发布日期"/>
    <w:basedOn w:val="74"/>
    <w:qFormat/>
    <w:uiPriority w:val="0"/>
    <w:pPr>
      <w:framePr w:vAnchor="page" w:hAnchor="text" w:x="1419"/>
    </w:pPr>
  </w:style>
  <w:style w:type="paragraph" w:customStyle="1" w:styleId="130">
    <w:name w:val="其他实施日期"/>
    <w:basedOn w:val="113"/>
    <w:qFormat/>
    <w:uiPriority w:val="0"/>
  </w:style>
  <w:style w:type="paragraph" w:customStyle="1" w:styleId="131">
    <w:name w:val="封面标准名称2"/>
    <w:basedOn w:val="77"/>
    <w:qFormat/>
    <w:uiPriority w:val="0"/>
    <w:pPr>
      <w:framePr w:y="4469"/>
      <w:spacing w:beforeLines="630"/>
    </w:pPr>
  </w:style>
  <w:style w:type="paragraph" w:customStyle="1" w:styleId="132">
    <w:name w:val="封面标准英文名称2"/>
    <w:basedOn w:val="78"/>
    <w:qFormat/>
    <w:uiPriority w:val="0"/>
    <w:pPr>
      <w:framePr w:y="4469"/>
    </w:pPr>
  </w:style>
  <w:style w:type="paragraph" w:customStyle="1" w:styleId="133">
    <w:name w:val="封面一致性程度标识2"/>
    <w:basedOn w:val="79"/>
    <w:qFormat/>
    <w:uiPriority w:val="0"/>
    <w:pPr>
      <w:framePr w:y="4469"/>
    </w:pPr>
  </w:style>
  <w:style w:type="paragraph" w:customStyle="1" w:styleId="134">
    <w:name w:val="封面标准文稿类别2"/>
    <w:basedOn w:val="80"/>
    <w:qFormat/>
    <w:uiPriority w:val="0"/>
    <w:pPr>
      <w:framePr w:y="4469"/>
    </w:pPr>
  </w:style>
  <w:style w:type="paragraph" w:customStyle="1" w:styleId="135">
    <w:name w:val="封面标准文稿编辑信息2"/>
    <w:basedOn w:val="81"/>
    <w:qFormat/>
    <w:uiPriority w:val="0"/>
    <w:pPr>
      <w:framePr w:y="4469"/>
    </w:pPr>
  </w:style>
  <w:style w:type="character" w:customStyle="1" w:styleId="136">
    <w:name w:val="一级条标题 Char"/>
    <w:basedOn w:val="34"/>
    <w:link w:val="41"/>
    <w:qFormat/>
    <w:uiPriority w:val="0"/>
    <w:rPr>
      <w:rFonts w:ascii="黑体" w:eastAsia="黑体"/>
      <w:sz w:val="21"/>
      <w:szCs w:val="21"/>
      <w:lang w:val="en-US" w:eastAsia="zh-CN" w:bidi="ar-SA"/>
    </w:rPr>
  </w:style>
  <w:style w:type="character" w:customStyle="1" w:styleId="137">
    <w:name w:val="批注框文本 Char"/>
    <w:basedOn w:val="34"/>
    <w:link w:val="17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2.wmf"/><Relationship Id="rId7" Type="http://schemas.openxmlformats.org/officeDocument/2006/relationships/oleObject" Target="embeddings/oleObject1.bin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6631;&#20934;&#30340;&#30456;&#20851;&#36164;&#26009;\&#26377;&#25928;&#30340;&#20135;&#21697;&#20225;&#19994;&#26631;&#20934;-090609\Q-XMDC%20008-2012%20&#20108;&#27682;&#26376;&#26690;&#28911;&#3725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Q-XMDC 008-2012 二氢月桂烯醇</Template>
  <Company>zle</Company>
  <Pages>6</Pages>
  <Words>346</Words>
  <Characters>1974</Characters>
  <Lines>16</Lines>
  <Paragraphs>4</Paragraphs>
  <TotalTime>14</TotalTime>
  <ScaleCrop>false</ScaleCrop>
  <LinksUpToDate>false</LinksUpToDate>
  <CharactersWithSpaces>2316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2018-03-30T01:40:00Z</dcterms:created>
  <dc:creator>USER</dc:creator>
  <cp:lastModifiedBy>张鹏</cp:lastModifiedBy>
  <cp:lastPrinted>2016-11-11T03:11:00Z</cp:lastPrinted>
  <dcterms:modified xsi:type="dcterms:W3CDTF">2020-11-11T07:20:37Z</dcterms:modified>
  <dc:title>标准名称</dc:title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